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center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Style w:val="28"/>
          <w:rFonts w:hint="default" w:ascii="微软雅黑" w:hAnsi="微软雅黑" w:eastAsia="微软雅黑"/>
          <w:b/>
          <w:i w:val="0"/>
          <w:color w:val="000000"/>
          <w:spacing w:val="0"/>
          <w:position w:val="0"/>
          <w:sz w:val="25"/>
          <w:szCs w:val="25"/>
        </w:rPr>
        <w:t>尼玛县财工青妇2019年预算公开说明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center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Style w:val="28"/>
          <w:rFonts w:hint="default" w:ascii="微软雅黑" w:hAnsi="微软雅黑" w:eastAsia="微软雅黑"/>
          <w:b/>
          <w:i w:val="0"/>
          <w:color w:val="000000"/>
          <w:spacing w:val="0"/>
          <w:position w:val="0"/>
          <w:sz w:val="25"/>
          <w:szCs w:val="25"/>
        </w:rPr>
        <w:t>2019年4月28日</w:t>
      </w:r>
    </w:p>
    <w:p>
      <w:pPr>
        <w:pStyle w:val="23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bidi w:val="0"/>
        <w:snapToGrid/>
        <w:spacing w:before="0" w:after="0" w:line="360" w:lineRule="auto"/>
        <w:ind w:left="0" w:right="0" w:firstLine="527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Style w:val="28"/>
          <w:rFonts w:hint="default" w:ascii="微软雅黑" w:hAnsi="微软雅黑" w:eastAsia="微软雅黑"/>
          <w:b/>
          <w:i w:val="0"/>
          <w:color w:val="000000"/>
          <w:spacing w:val="0"/>
          <w:position w:val="0"/>
          <w:sz w:val="25"/>
          <w:szCs w:val="25"/>
        </w:rPr>
        <w:t>目录</w:t>
      </w:r>
    </w:p>
    <w:p>
      <w:pPr>
        <w:pStyle w:val="23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bidi w:val="0"/>
        <w:snapToGrid/>
        <w:spacing w:before="0" w:after="0" w:line="360" w:lineRule="auto"/>
        <w:ind w:left="0" w:right="0" w:firstLine="527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第一部分 尼玛县工青妇概况</w:t>
      </w:r>
    </w:p>
    <w:p>
      <w:pPr>
        <w:pStyle w:val="23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bidi w:val="0"/>
        <w:snapToGrid/>
        <w:spacing w:before="0" w:after="0" w:line="360" w:lineRule="auto"/>
        <w:ind w:left="0" w:right="0" w:firstLine="1027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一、部门预算单位的构成</w:t>
      </w:r>
    </w:p>
    <w:p>
      <w:pPr>
        <w:pStyle w:val="23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bidi w:val="0"/>
        <w:snapToGrid/>
        <w:spacing w:before="0" w:after="0" w:line="360" w:lineRule="auto"/>
        <w:ind w:left="0" w:right="0" w:firstLine="11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二、部门职责</w:t>
      </w:r>
    </w:p>
    <w:p>
      <w:pPr>
        <w:pStyle w:val="23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bidi w:val="0"/>
        <w:snapToGrid/>
        <w:spacing w:before="0" w:after="0" w:line="360" w:lineRule="auto"/>
        <w:ind w:left="0" w:right="0" w:firstLine="11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三、部门机构设置概况</w:t>
      </w:r>
    </w:p>
    <w:p>
      <w:pPr>
        <w:pStyle w:val="23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bidi w:val="0"/>
        <w:snapToGrid/>
        <w:spacing w:before="0" w:after="0" w:line="360" w:lineRule="auto"/>
        <w:ind w:left="0" w:right="0" w:firstLine="527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第二部分 尼玛县工青妇2019年部门预算公开表</w:t>
      </w:r>
    </w:p>
    <w:p>
      <w:pPr>
        <w:pStyle w:val="23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bidi w:val="0"/>
        <w:snapToGrid/>
        <w:spacing w:before="0" w:after="0" w:line="360" w:lineRule="auto"/>
        <w:ind w:left="0" w:right="0" w:firstLine="11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一、财政拨款收支总表</w:t>
      </w:r>
    </w:p>
    <w:p>
      <w:pPr>
        <w:pStyle w:val="23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bidi w:val="0"/>
        <w:snapToGrid/>
        <w:spacing w:before="0" w:after="0" w:line="360" w:lineRule="auto"/>
        <w:ind w:left="0" w:right="0" w:firstLine="11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二、一般公共预算支出表</w:t>
      </w:r>
    </w:p>
    <w:p>
      <w:pPr>
        <w:pStyle w:val="23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bidi w:val="0"/>
        <w:snapToGrid/>
        <w:spacing w:before="0" w:after="0" w:line="360" w:lineRule="auto"/>
        <w:ind w:left="0" w:right="0" w:firstLine="11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三、一般公共预算基本支出表</w:t>
      </w:r>
    </w:p>
    <w:p>
      <w:pPr>
        <w:pStyle w:val="23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bidi w:val="0"/>
        <w:snapToGrid/>
        <w:spacing w:before="0" w:after="0" w:line="360" w:lineRule="auto"/>
        <w:ind w:left="0" w:right="0" w:firstLine="11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四、一般公共预算“三公”经费支出表</w:t>
      </w:r>
    </w:p>
    <w:p>
      <w:pPr>
        <w:pStyle w:val="23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bidi w:val="0"/>
        <w:snapToGrid/>
        <w:spacing w:before="0" w:after="0" w:line="360" w:lineRule="auto"/>
        <w:ind w:left="0" w:right="0" w:firstLine="11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五、政府性基金预算支出表</w:t>
      </w:r>
    </w:p>
    <w:p>
      <w:pPr>
        <w:pStyle w:val="23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bidi w:val="0"/>
        <w:snapToGrid/>
        <w:spacing w:before="0" w:after="0" w:line="360" w:lineRule="auto"/>
        <w:ind w:left="0" w:right="0" w:firstLine="11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六、部门收支总表</w:t>
      </w:r>
    </w:p>
    <w:p>
      <w:pPr>
        <w:pStyle w:val="23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bidi w:val="0"/>
        <w:snapToGrid/>
        <w:spacing w:before="0" w:after="0" w:line="360" w:lineRule="auto"/>
        <w:ind w:left="0" w:right="0" w:firstLine="11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七、部门收入总表</w:t>
      </w:r>
    </w:p>
    <w:p>
      <w:pPr>
        <w:pStyle w:val="23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bidi w:val="0"/>
        <w:snapToGrid/>
        <w:spacing w:before="0" w:after="0" w:line="360" w:lineRule="auto"/>
        <w:ind w:left="0" w:right="0" w:firstLine="11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八、部门支出总表</w:t>
      </w:r>
    </w:p>
    <w:p>
      <w:pPr>
        <w:pStyle w:val="23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bidi w:val="0"/>
        <w:snapToGrid/>
        <w:spacing w:before="0" w:after="0" w:line="360" w:lineRule="auto"/>
        <w:ind w:left="0" w:right="0" w:firstLine="527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第三部分 尼玛县工青妇2019年度部门预算情况说明</w:t>
      </w:r>
    </w:p>
    <w:p>
      <w:pPr>
        <w:pStyle w:val="23"/>
        <w:pageBreakBefore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bidi w:val="0"/>
        <w:snapToGrid/>
        <w:spacing w:before="0" w:after="0" w:line="360" w:lineRule="auto"/>
        <w:ind w:left="0" w:right="0" w:firstLine="527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第四部分 名词解释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Style w:val="28"/>
          <w:rFonts w:hint="default" w:ascii="微软雅黑" w:hAnsi="微软雅黑" w:eastAsia="微软雅黑"/>
          <w:b/>
          <w:i w:val="0"/>
          <w:color w:val="000000"/>
          <w:spacing w:val="0"/>
          <w:position w:val="0"/>
          <w:sz w:val="25"/>
          <w:szCs w:val="25"/>
        </w:rPr>
      </w:pP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Style w:val="28"/>
          <w:rFonts w:hint="default" w:ascii="微软雅黑" w:hAnsi="微软雅黑" w:eastAsia="微软雅黑"/>
          <w:b/>
          <w:i w:val="0"/>
          <w:color w:val="000000"/>
          <w:spacing w:val="0"/>
          <w:position w:val="0"/>
          <w:sz w:val="25"/>
          <w:szCs w:val="25"/>
        </w:rPr>
      </w:pP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Style w:val="28"/>
          <w:rFonts w:hint="default" w:ascii="微软雅黑" w:hAnsi="微软雅黑" w:eastAsia="微软雅黑"/>
          <w:b/>
          <w:i w:val="0"/>
          <w:color w:val="000000"/>
          <w:spacing w:val="0"/>
          <w:position w:val="0"/>
          <w:sz w:val="25"/>
          <w:szCs w:val="25"/>
        </w:rPr>
        <w:t>第一部分 尼玛县工青妇概况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仿宋" w:hAnsi="仿宋" w:eastAsia="仿宋"/>
          <w:color w:val="auto"/>
          <w:spacing w:val="0"/>
          <w:position w:val="0"/>
          <w:sz w:val="32"/>
          <w:szCs w:val="32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一、部门主要职责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765"/>
        <w:jc w:val="left"/>
        <w:rPr>
          <w:rFonts w:hint="default" w:ascii="微软雅黑" w:hAnsi="微软雅黑" w:eastAsia="微软雅黑"/>
          <w:color w:val="auto"/>
          <w:spacing w:val="0"/>
          <w:position w:val="0"/>
          <w:sz w:val="24"/>
          <w:szCs w:val="24"/>
        </w:rPr>
      </w:pPr>
      <w:r>
        <w:rPr>
          <w:rFonts w:hint="default" w:ascii="微软雅黑" w:hAnsi="微软雅黑" w:eastAsia="微软雅黑"/>
          <w:color w:val="auto"/>
          <w:spacing w:val="0"/>
          <w:position w:val="0"/>
          <w:sz w:val="24"/>
          <w:szCs w:val="24"/>
        </w:rPr>
        <w:t>（一）、根据党的路线、方针、政策及县委的中心工作，管理工会工作、妇女工作和团员工作</w:t>
      </w:r>
    </w:p>
    <w:p>
      <w:pPr>
        <w:pageBreakBefore w:val="0"/>
        <w:numPr>
          <w:ilvl w:val="0"/>
          <w:numId w:val="1"/>
        </w:numPr>
        <w:wordWrap w:val="0"/>
        <w:autoSpaceDE/>
        <w:autoSpaceDN/>
        <w:bidi w:val="0"/>
        <w:snapToGrid/>
        <w:spacing w:before="0" w:after="0" w:line="240" w:lineRule="auto"/>
        <w:ind w:left="0" w:right="0" w:firstLine="640"/>
        <w:jc w:val="left"/>
        <w:rPr>
          <w:rFonts w:hint="default" w:ascii="微软雅黑" w:hAnsi="微软雅黑" w:eastAsia="微软雅黑"/>
          <w:color w:val="auto"/>
          <w:spacing w:val="0"/>
          <w:position w:val="0"/>
          <w:sz w:val="24"/>
          <w:szCs w:val="24"/>
        </w:rPr>
      </w:pPr>
      <w:r>
        <w:rPr>
          <w:rFonts w:hint="default" w:ascii="微软雅黑" w:hAnsi="微软雅黑" w:eastAsia="微软雅黑"/>
          <w:color w:val="auto"/>
          <w:spacing w:val="0"/>
          <w:position w:val="0"/>
          <w:sz w:val="24"/>
          <w:szCs w:val="24"/>
        </w:rPr>
        <w:t>、认真贯彻执行自治区、地区两级政府对群团组织制定的方针、政策和规定，指导和协调各归口管理部门的日常工作。</w:t>
      </w:r>
    </w:p>
    <w:p>
      <w:pPr>
        <w:pageBreakBefore w:val="0"/>
        <w:numPr>
          <w:ilvl w:val="0"/>
          <w:numId w:val="1"/>
        </w:numPr>
        <w:wordWrap w:val="0"/>
        <w:autoSpaceDE/>
        <w:autoSpaceDN/>
        <w:bidi w:val="0"/>
        <w:snapToGrid/>
        <w:spacing w:before="0" w:after="0" w:line="240" w:lineRule="auto"/>
        <w:ind w:left="0" w:right="0" w:firstLine="640"/>
        <w:jc w:val="left"/>
        <w:rPr>
          <w:rFonts w:hint="default" w:ascii="微软雅黑" w:hAnsi="微软雅黑" w:eastAsia="微软雅黑"/>
          <w:color w:val="auto"/>
          <w:spacing w:val="0"/>
          <w:position w:val="0"/>
          <w:sz w:val="24"/>
          <w:szCs w:val="24"/>
        </w:rPr>
      </w:pPr>
      <w:r>
        <w:rPr>
          <w:rFonts w:hint="default" w:ascii="微软雅黑" w:hAnsi="微软雅黑" w:eastAsia="微软雅黑"/>
          <w:color w:val="auto"/>
          <w:spacing w:val="0"/>
          <w:position w:val="0"/>
          <w:sz w:val="24"/>
          <w:szCs w:val="24"/>
        </w:rPr>
        <w:t>研究和制定工会工作的指导方针和任务；监督《工会法》的落实执行情况；调查了解职工的思想状况和职工利益的重大问题，依法维护职工切身利益，积极参政议政；协助政府做好劳模的推荐工作；监督和检查全县工会经费的使用和管理情况。</w:t>
      </w:r>
    </w:p>
    <w:p>
      <w:pPr>
        <w:pageBreakBefore w:val="0"/>
        <w:numPr>
          <w:ilvl w:val="0"/>
          <w:numId w:val="1"/>
        </w:numPr>
        <w:wordWrap w:val="0"/>
        <w:autoSpaceDE/>
        <w:autoSpaceDN/>
        <w:bidi w:val="0"/>
        <w:snapToGrid/>
        <w:spacing w:before="0" w:after="0" w:line="240" w:lineRule="auto"/>
        <w:ind w:left="0" w:right="0" w:firstLine="640"/>
        <w:jc w:val="left"/>
        <w:rPr>
          <w:rFonts w:hint="default" w:ascii="微软雅黑" w:hAnsi="微软雅黑" w:eastAsia="微软雅黑"/>
          <w:color w:val="auto"/>
          <w:spacing w:val="0"/>
          <w:position w:val="0"/>
          <w:sz w:val="24"/>
          <w:szCs w:val="24"/>
        </w:rPr>
      </w:pPr>
      <w:r>
        <w:rPr>
          <w:rFonts w:hint="default" w:ascii="微软雅黑" w:hAnsi="微软雅黑" w:eastAsia="微软雅黑"/>
          <w:color w:val="auto"/>
          <w:spacing w:val="0"/>
          <w:position w:val="0"/>
          <w:sz w:val="24"/>
          <w:szCs w:val="24"/>
        </w:rPr>
        <w:t>根据党的中心任务，研究制定团的工作计划和具体任务；加强团的组织建设和团的干部队伍建设，积极做好向党组织推荐优秀青年作为入党积极分子工作。</w:t>
      </w:r>
    </w:p>
    <w:p>
      <w:pPr>
        <w:pageBreakBefore w:val="0"/>
        <w:numPr>
          <w:ilvl w:val="0"/>
          <w:numId w:val="1"/>
        </w:numPr>
        <w:wordWrap w:val="0"/>
        <w:autoSpaceDE/>
        <w:autoSpaceDN/>
        <w:bidi w:val="0"/>
        <w:snapToGrid/>
        <w:spacing w:before="0" w:after="0" w:line="240" w:lineRule="auto"/>
        <w:ind w:left="0" w:right="0" w:firstLine="640"/>
        <w:jc w:val="left"/>
        <w:rPr>
          <w:rFonts w:hint="default" w:ascii="微软雅黑" w:hAnsi="微软雅黑" w:eastAsia="微软雅黑"/>
          <w:color w:val="auto"/>
          <w:spacing w:val="0"/>
          <w:position w:val="0"/>
          <w:sz w:val="24"/>
          <w:szCs w:val="24"/>
        </w:rPr>
      </w:pPr>
      <w:r>
        <w:rPr>
          <w:rFonts w:hint="default" w:ascii="微软雅黑" w:hAnsi="微软雅黑" w:eastAsia="微软雅黑"/>
          <w:color w:val="auto"/>
          <w:spacing w:val="0"/>
          <w:position w:val="0"/>
          <w:sz w:val="24"/>
          <w:szCs w:val="24"/>
        </w:rPr>
        <w:t>调查了解青年思想状况，依法维护青少年和保护未成年人的合法权益，反映青年的意思和要求；负责筹备县团的代表大会、代表会议以及全体委员会会议。</w:t>
      </w:r>
    </w:p>
    <w:p>
      <w:pPr>
        <w:pageBreakBefore w:val="0"/>
        <w:numPr>
          <w:ilvl w:val="0"/>
          <w:numId w:val="1"/>
        </w:numPr>
        <w:wordWrap w:val="0"/>
        <w:autoSpaceDE/>
        <w:autoSpaceDN/>
        <w:bidi w:val="0"/>
        <w:snapToGrid/>
        <w:spacing w:before="0" w:after="0" w:line="240" w:lineRule="auto"/>
        <w:ind w:left="0" w:right="0" w:firstLine="640"/>
        <w:jc w:val="left"/>
        <w:rPr>
          <w:rFonts w:hint="default" w:ascii="微软雅黑" w:hAnsi="微软雅黑" w:eastAsia="微软雅黑"/>
          <w:color w:val="auto"/>
          <w:spacing w:val="0"/>
          <w:position w:val="0"/>
          <w:sz w:val="24"/>
          <w:szCs w:val="24"/>
        </w:rPr>
      </w:pPr>
      <w:r>
        <w:rPr>
          <w:rFonts w:hint="default" w:ascii="微软雅黑" w:hAnsi="微软雅黑" w:eastAsia="微软雅黑"/>
          <w:color w:val="auto"/>
          <w:spacing w:val="0"/>
          <w:position w:val="0"/>
          <w:sz w:val="24"/>
          <w:szCs w:val="24"/>
        </w:rPr>
        <w:t>研究和指导制定妇女工作的指导方针和任务；教育、团结和引导广大妇女参政议政，树立爱国主义思想；督促做好基层妇联的组织建设和妇女干部队伍建设，调查、研究妇女干部的成长情况。</w:t>
      </w:r>
    </w:p>
    <w:p>
      <w:pPr>
        <w:pageBreakBefore w:val="0"/>
        <w:numPr>
          <w:ilvl w:val="0"/>
          <w:numId w:val="1"/>
        </w:numPr>
        <w:wordWrap w:val="0"/>
        <w:autoSpaceDE/>
        <w:autoSpaceDN/>
        <w:bidi w:val="0"/>
        <w:snapToGrid/>
        <w:spacing w:before="0" w:after="0" w:line="240" w:lineRule="auto"/>
        <w:ind w:left="0" w:right="0" w:firstLine="640"/>
        <w:jc w:val="left"/>
        <w:rPr>
          <w:rFonts w:hint="default" w:ascii="微软雅黑" w:hAnsi="微软雅黑" w:eastAsia="微软雅黑"/>
          <w:color w:val="auto"/>
          <w:spacing w:val="0"/>
          <w:position w:val="0"/>
          <w:sz w:val="24"/>
          <w:szCs w:val="24"/>
        </w:rPr>
      </w:pPr>
      <w:r>
        <w:rPr>
          <w:rFonts w:hint="default" w:ascii="微软雅黑" w:hAnsi="微软雅黑" w:eastAsia="微软雅黑"/>
          <w:color w:val="auto"/>
          <w:spacing w:val="0"/>
          <w:position w:val="0"/>
          <w:sz w:val="24"/>
          <w:szCs w:val="24"/>
        </w:rPr>
        <w:t>研究制定妇联的工作计划和任务；指导、检查、督促基层妇联各项工作任务的落实情况；会同县委组织部共同管理妇女干部队伍建设；参与、监督相关法律的执行实施情况；监督、检查相关经费的使用情况。</w:t>
      </w:r>
    </w:p>
    <w:p>
      <w:pPr>
        <w:pageBreakBefore w:val="0"/>
        <w:numPr>
          <w:ilvl w:val="0"/>
          <w:numId w:val="1"/>
        </w:numPr>
        <w:wordWrap w:val="0"/>
        <w:autoSpaceDE/>
        <w:autoSpaceDN/>
        <w:bidi w:val="0"/>
        <w:snapToGrid/>
        <w:spacing w:before="0" w:after="0" w:line="240" w:lineRule="auto"/>
        <w:ind w:left="0" w:right="0" w:firstLine="640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4"/>
          <w:szCs w:val="24"/>
        </w:rPr>
      </w:pPr>
      <w:r>
        <w:rPr>
          <w:rFonts w:hint="default" w:ascii="微软雅黑" w:hAnsi="微软雅黑" w:eastAsia="微软雅黑"/>
          <w:color w:val="auto"/>
          <w:spacing w:val="0"/>
          <w:position w:val="0"/>
          <w:sz w:val="24"/>
          <w:szCs w:val="24"/>
        </w:rPr>
        <w:t>承办县委、政府交办和市工会办事处、妇联、团地委委托的其他工作。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二、机构设置情况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我办隶属行政机构，</w:t>
      </w:r>
      <w:r>
        <w:rPr>
          <w:rFonts w:hint="default" w:ascii="微软雅黑" w:hAnsi="微软雅黑" w:eastAsia="微软雅黑"/>
          <w:b w:val="0"/>
          <w:i w:val="0"/>
          <w:color w:val="000000" w:themeColor="text1"/>
          <w:spacing w:val="0"/>
          <w:position w:val="0"/>
          <w:sz w:val="25"/>
          <w:szCs w:val="25"/>
          <w14:textFill>
            <w14:solidFill>
              <w14:schemeClr w14:val="tx1"/>
            </w14:solidFill>
          </w14:textFill>
        </w:rPr>
        <w:t>人员编制4人，行政人员编制　4人</w:t>
      </w: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。2019年，我办在职职工7人（其中2人在县扶贫半脱产），其中：正科干部2人、副科级部3人，科员及以下干部1人、工人1人。我办办公室有，总工会办公室、团委办公室、妇联办公室等内设机构。</w:t>
      </w:r>
    </w:p>
    <w:p>
      <w:pPr>
        <w:pStyle w:val="23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Style w:val="28"/>
          <w:rFonts w:hint="default" w:ascii="微软雅黑" w:hAnsi="微软雅黑" w:eastAsia="微软雅黑"/>
          <w:b/>
          <w:i w:val="0"/>
          <w:color w:val="000000" w:themeColor="text1"/>
          <w:spacing w:val="0"/>
          <w:position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Style w:val="28"/>
          <w:rFonts w:hint="default" w:ascii="微软雅黑" w:hAnsi="微软雅黑" w:eastAsia="微软雅黑"/>
          <w:b/>
          <w:i w:val="0"/>
          <w:color w:val="000000" w:themeColor="text1"/>
          <w:spacing w:val="0"/>
          <w:position w:val="0"/>
          <w:sz w:val="25"/>
          <w:szCs w:val="25"/>
          <w14:textFill>
            <w14:solidFill>
              <w14:schemeClr w14:val="tx1"/>
            </w14:solidFill>
          </w14:textFill>
        </w:rPr>
        <w:t>尼玛县工青妇2019年度预算公开表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明细表详见附件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Style w:val="28"/>
          <w:rFonts w:hint="default" w:ascii="微软雅黑" w:hAnsi="微软雅黑" w:eastAsia="微软雅黑"/>
          <w:b/>
          <w:i w:val="0"/>
          <w:color w:val="000000"/>
          <w:spacing w:val="0"/>
          <w:position w:val="0"/>
          <w:sz w:val="25"/>
          <w:szCs w:val="25"/>
        </w:rPr>
        <w:t>第三部分 尼玛县工青妇2019年度预算情况说明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一、关于尼玛县工青妇2019年度财政拨款收支预算情况总体说明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尼玛县工青妇2019年财政拨款收支总预算131.29万元，收入全部为一般公共预算拨款、无政府性基金预算拨款；支出包括：一般公共服务支出131.29万元。我单位编制</w:t>
      </w:r>
      <w:r>
        <w:rPr>
          <w:rFonts w:hint="default" w:ascii="微软雅黑" w:hAnsi="微软雅黑" w:eastAsia="微软雅黑"/>
          <w:b w:val="0"/>
          <w:i w:val="0"/>
          <w:color w:val="000000" w:themeColor="text1"/>
          <w:spacing w:val="0"/>
          <w:position w:val="0"/>
          <w:sz w:val="25"/>
          <w:szCs w:val="25"/>
          <w14:textFill>
            <w14:solidFill>
              <w14:schemeClr w14:val="tx1"/>
            </w14:solidFill>
          </w14:textFill>
        </w:rPr>
        <w:t>人数4人，</w:t>
      </w: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2019年实有人数5人，2019年预算经费共计131.29万元。其中工资福利支出预算121.41万元，商品服务服务支出预算9.88万元。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二、关于尼玛县工青妇2019年度一般公共预算当年拨款情况说明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（一）一般公共预算当年财政拨款规模变化情况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 w:themeColor="text1"/>
          <w:spacing w:val="0"/>
          <w:position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/>
          <w:b w:val="0"/>
          <w:i w:val="0"/>
          <w:color w:val="000000" w:themeColor="text1"/>
          <w:spacing w:val="0"/>
          <w:position w:val="0"/>
          <w:sz w:val="25"/>
          <w:szCs w:val="25"/>
          <w14:textFill>
            <w14:solidFill>
              <w14:schemeClr w14:val="tx1"/>
            </w14:solidFill>
          </w14:textFill>
        </w:rPr>
        <w:t>2019年当年预算收入131.29万元，比上年减少 98.21万元，下降 42.79%，其中：基本支出预算收入131.29万元，比上年减少98.21万元，下降1.04%。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（二）一般公共预算当年财政拨款结构情况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 w:themeColor="text1"/>
          <w:spacing w:val="0"/>
          <w:position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/>
          <w:b w:val="0"/>
          <w:i w:val="0"/>
          <w:color w:val="5B9BD5" w:themeColor="accent1"/>
          <w:spacing w:val="0"/>
          <w:position w:val="0"/>
          <w:sz w:val="25"/>
          <w:szCs w:val="25"/>
          <w14:textFill>
            <w14:solidFill>
              <w14:schemeClr w14:val="accent1"/>
            </w14:solidFill>
          </w14:textFill>
        </w:rPr>
        <w:t>2</w:t>
      </w:r>
      <w:r>
        <w:rPr>
          <w:rFonts w:hint="default" w:ascii="微软雅黑" w:hAnsi="微软雅黑" w:eastAsia="微软雅黑"/>
          <w:b w:val="0"/>
          <w:i w:val="0"/>
          <w:color w:val="000000" w:themeColor="text1"/>
          <w:spacing w:val="0"/>
          <w:position w:val="0"/>
          <w:sz w:val="25"/>
          <w:szCs w:val="25"/>
          <w14:textFill>
            <w14:solidFill>
              <w14:schemeClr w14:val="tx1"/>
            </w14:solidFill>
          </w14:textFill>
        </w:rPr>
        <w:t>019年当年预算收入131.29万元，其中：基本支出预算收入131.29万元，占预算收入的100%。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三、2019年度一般公共预算基本支出情况说明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2019年度财政拨款基本支出预算收入131.29万元，其中：工资福利支出预算收入121.41万元，商品和服务支出预算9.88万元（其中：办公费0.13万元、电费0.27万元、邮电费0.36万元、印刷费0.05万元、差旅费2.31万元、会议费0.39万元、培训费0.12万元、取暖费0.12万元、公务接待费0.49万元、维修（护）费0.23万元、工会经费本2.18万元、公务车辆运行维护费3.23万元）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四、2019年度一般公共预算“三公”经费情况说明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 w:themeColor="text1"/>
          <w:spacing w:val="0"/>
          <w:position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/>
          <w:b w:val="0"/>
          <w:i w:val="0"/>
          <w:color w:val="000000" w:themeColor="text1"/>
          <w:spacing w:val="0"/>
          <w:position w:val="0"/>
          <w:sz w:val="25"/>
          <w:szCs w:val="25"/>
          <w14:textFill>
            <w14:solidFill>
              <w14:schemeClr w14:val="tx1"/>
            </w14:solidFill>
          </w14:textFill>
        </w:rPr>
        <w:t>2019年“三公”经费预算数合计3.72万元，较2018年度</w:t>
      </w:r>
      <w:r>
        <w:rPr>
          <w:rFonts w:hint="eastAsia" w:ascii="微软雅黑" w:hAnsi="微软雅黑" w:eastAsia="微软雅黑"/>
          <w:b w:val="0"/>
          <w:i w:val="0"/>
          <w:color w:val="000000" w:themeColor="text1"/>
          <w:spacing w:val="0"/>
          <w:position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持平，</w:t>
      </w:r>
      <w:r>
        <w:rPr>
          <w:rFonts w:hint="default" w:ascii="微软雅黑" w:hAnsi="微软雅黑" w:eastAsia="微软雅黑"/>
          <w:b w:val="0"/>
          <w:i w:val="0"/>
          <w:color w:val="000000" w:themeColor="text1"/>
          <w:spacing w:val="0"/>
          <w:position w:val="0"/>
          <w:sz w:val="25"/>
          <w:szCs w:val="25"/>
          <w14:textFill>
            <w14:solidFill>
              <w14:schemeClr w14:val="tx1"/>
            </w14:solidFill>
          </w14:textFill>
        </w:rPr>
        <w:t>其中：因公出国境费0.00万元，较2018年持平；公务用车购置及运行费3.23万元，较2018年持平；公务接待费0.49万元，较2018年增持平。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五、关于尼玛县工青妇2019年度政府性基金预算支出情况说明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尼玛县工青妇2019年没有使用政府性基金预算支出。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六、关于尼玛县工青妇2019年收支预算情况总体说明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 w:themeColor="text1"/>
          <w:spacing w:val="0"/>
          <w:position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尼玛县工青妇2019年财政拨款收支总预算131.29万元，收入全部为一般公共预算拨款、无政府性基金预算拨款；</w:t>
      </w:r>
      <w:r>
        <w:rPr>
          <w:rFonts w:hint="default" w:ascii="微软雅黑" w:hAnsi="微软雅黑" w:eastAsia="微软雅黑"/>
          <w:b w:val="0"/>
          <w:i w:val="0"/>
          <w:color w:val="000000" w:themeColor="text1"/>
          <w:spacing w:val="0"/>
          <w:position w:val="0"/>
          <w:sz w:val="25"/>
          <w:szCs w:val="25"/>
          <w14:textFill>
            <w14:solidFill>
              <w14:schemeClr w14:val="tx1"/>
            </w14:solidFill>
          </w14:textFill>
        </w:rPr>
        <w:t>支出包括：一般公共服务支出131.29万元。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七、关于尼玛县工青妇2019年部门收入总表的说明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尼玛县工青妇2019年收入预算131.29万元，收入全部为一般公共预算拨款、无政府性基金预算拨款。其中一般公共服务支出占100%。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八、关于尼玛县工青妇2019年部门支出总表的说明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尼玛县工青妇2019年支出预算131.29万元、其中一般公共服务支出占100%。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九、其他重要事项的说明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（一）政府采购情况说明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尼玛县工青妇2019年度未安排专项政府采购预算。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（二）机关运行经费安排情况说明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2019年商品和服务支出预算9.88万元，其中：办公费0.13万元；会议费0.39万元；公务用车运行维护费3.23万元；公务接待费0.49万元；差旅费2.31万元；公用取暖费0.12万元；培训费0.12万元；印刷费0.05万元；公用水电费0.27万元；维修（护）费0.23万元；邮电费0.36万元；工会经费2.18万元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（三）国有资产占有使用情况说明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 w:themeColor="text1"/>
          <w:spacing w:val="0"/>
          <w:position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/>
          <w:b w:val="0"/>
          <w:i w:val="0"/>
          <w:color w:val="000000" w:themeColor="text1"/>
          <w:spacing w:val="0"/>
          <w:position w:val="0"/>
          <w:sz w:val="25"/>
          <w:szCs w:val="25"/>
          <w14:textFill>
            <w14:solidFill>
              <w14:schemeClr w14:val="tx1"/>
            </w14:solidFill>
          </w14:textFill>
        </w:rPr>
        <w:t>截至2018年12月31日，国有资产346.3万元、其中流动资产167.6万元、固定资产178.9万元。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 w:themeColor="text1"/>
          <w:spacing w:val="0"/>
          <w:position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/>
          <w:b w:val="0"/>
          <w:i w:val="0"/>
          <w:color w:val="000000" w:themeColor="text1"/>
          <w:spacing w:val="0"/>
          <w:position w:val="0"/>
          <w:sz w:val="25"/>
          <w:szCs w:val="25"/>
          <w14:textFill>
            <w14:solidFill>
              <w14:schemeClr w14:val="tx1"/>
            </w14:solidFill>
          </w14:textFill>
        </w:rPr>
        <w:t>固定</w:t>
      </w:r>
      <w:r>
        <w:rPr>
          <w:rFonts w:hint="eastAsia" w:ascii="微软雅黑" w:hAnsi="微软雅黑" w:eastAsia="微软雅黑"/>
          <w:b w:val="0"/>
          <w:i w:val="0"/>
          <w:color w:val="000000" w:themeColor="text1"/>
          <w:spacing w:val="0"/>
          <w:position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资产</w:t>
      </w:r>
      <w:bookmarkStart w:id="0" w:name="_GoBack"/>
      <w:bookmarkEnd w:id="0"/>
      <w:r>
        <w:rPr>
          <w:rFonts w:hint="default" w:ascii="微软雅黑" w:hAnsi="微软雅黑" w:eastAsia="微软雅黑"/>
          <w:b w:val="0"/>
          <w:i w:val="0"/>
          <w:color w:val="000000" w:themeColor="text1"/>
          <w:spacing w:val="0"/>
          <w:position w:val="0"/>
          <w:sz w:val="25"/>
          <w:szCs w:val="25"/>
          <w14:textFill>
            <w14:solidFill>
              <w14:schemeClr w14:val="tx1"/>
            </w14:solidFill>
          </w14:textFill>
        </w:rPr>
        <w:t>中：其他资产178.9万元。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（四）预算绩效情况说明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 w:themeColor="text1"/>
          <w:spacing w:val="0"/>
          <w:position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/>
          <w:b w:val="0"/>
          <w:i w:val="0"/>
          <w:color w:val="000000" w:themeColor="text1"/>
          <w:spacing w:val="0"/>
          <w:position w:val="0"/>
          <w:sz w:val="25"/>
          <w:szCs w:val="25"/>
          <w14:textFill>
            <w14:solidFill>
              <w14:schemeClr w14:val="tx1"/>
            </w14:solidFill>
          </w14:textFill>
        </w:rPr>
        <w:t>尼玛县工青妇2019年未实行预算绩效。</w:t>
      </w:r>
    </w:p>
    <w:p>
      <w:pPr>
        <w:pStyle w:val="23"/>
        <w:numPr>
          <w:ilvl w:val="0"/>
          <w:numId w:val="3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政府性债务情况说明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525" w:right="0" w:firstLine="0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尼玛县工青妇不存在政府性债务。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Style w:val="28"/>
          <w:rFonts w:hint="default" w:ascii="微软雅黑" w:hAnsi="微软雅黑" w:eastAsia="微软雅黑"/>
          <w:b/>
          <w:i w:val="0"/>
          <w:color w:val="000000"/>
          <w:spacing w:val="0"/>
          <w:position w:val="0"/>
          <w:sz w:val="25"/>
          <w:szCs w:val="25"/>
        </w:rPr>
        <w:t>第四部分 名词解释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一、收入科目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（一）财政拨款：指当年从上级财政取得的资金。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（二）一般公共预算拨款收入：指财政部门当年拨付的资金。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（三）其他收入：指上述“一般公共预算拨款收入”以外的收入。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（四）上年结转和结余：主要是以前年度支出预算未完成，结转到当年或以后年度按有关规定继续使用的资金。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二、支出科目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（一）财政事务：指财政事务方面的支出。有关具体事务包括行政管理、机关服务、预算改革业务、财政国库业务、政监督、信息化建设、财政委托业务等。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（二）行政运行支出：指行政单位（包括实行公务员管理的事业单位）的基本支出。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（三）社会保障和就业支出：反映政府在社会保障与就业方面的支出。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（四）其他支出：反映除上述项目以外其他不能划分到具体功能科目中的支出项目。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（五）年末结转和结余：指以前年度预算支出未完成，按照有关规定结转到当年或以后年度继续使用的资金。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三、其他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（一）基本支出：指为保障机构正常运转、完成日常工作任务而发生的人员支出和公用支出。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525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（二）项目支出：指在基本支出之外为完成特定的行政任务和事业目标所发生的支出。</w:t>
      </w: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0" w:right="0" w:firstLine="0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</w:p>
    <w:p>
      <w:pPr>
        <w:pStyle w:val="23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E/>
        <w:autoSpaceDN/>
        <w:spacing w:before="225" w:after="300" w:line="450" w:lineRule="atLeast"/>
        <w:ind w:left="525" w:right="0" w:firstLine="0"/>
        <w:jc w:val="left"/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</w:pPr>
      <w:r>
        <w:rPr>
          <w:rFonts w:hint="default" w:ascii="微软雅黑" w:hAnsi="微软雅黑" w:eastAsia="微软雅黑"/>
          <w:b w:val="0"/>
          <w:i w:val="0"/>
          <w:color w:val="000000"/>
          <w:spacing w:val="0"/>
          <w:position w:val="0"/>
          <w:sz w:val="25"/>
          <w:szCs w:val="25"/>
        </w:rPr>
        <w:t>附件  尼玛县工青妇2019年度预算公开表</w:t>
      </w: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numPr>
        <w:ilvl w:val="0"/>
        <w:numId w:val="0"/>
      </w:numPr>
      <w:autoSpaceDE/>
      <w:autoSpaceDN/>
      <w:snapToGrid w:val="0"/>
      <w:spacing w:before="0" w:after="160" w:line="240" w:lineRule="auto"/>
      <w:ind w:left="0" w:right="0" w:firstLine="0"/>
      <w:jc w:val="left"/>
      <w:rPr>
        <w:rFonts w:hint="default" w:ascii="Calibri" w:hAnsi="宋体" w:eastAsia="宋体"/>
        <w:color w:val="auto"/>
        <w:position w:val="0"/>
        <w:sz w:val="18"/>
        <w:szCs w:val="18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8520" cy="24955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250190"/>
                      </a:xfrm>
                      <a:prstGeom prst="rect">
                        <a:avLst/>
                      </a:prstGeom>
                      <a:noFill/>
                      <a:ln w="6350" cap="flat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  <w:numPr>
                              <w:ilvl w:val="0"/>
                              <w:numId w:val="0"/>
                            </w:numPr>
                            <w:autoSpaceDE/>
                            <w:autoSpaceDN/>
                            <w:snapToGrid w:val="0"/>
                            <w:spacing w:before="0" w:after="160" w:line="240" w:lineRule="auto"/>
                            <w:ind w:left="0" w:right="0" w:firstLine="0"/>
                            <w:jc w:val="left"/>
                            <w:rPr>
                              <w:rFonts w:hint="default" w:ascii="Calibri" w:hAnsi="宋体" w:eastAsia="宋体"/>
                              <w:color w:val="auto"/>
                              <w:positio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default" w:ascii="Calibri" w:hAnsi="宋体" w:eastAsia="宋体"/>
                              <w:color w:val="auto"/>
                              <w:position w:val="0"/>
                              <w:sz w:val="18"/>
                              <w:szCs w:val="18"/>
                            </w:rPr>
                            <w:t xml:space="preserve">第 </w:t>
                          </w:r>
                          <w:r>
                            <w:rPr>
                              <w:rFonts w:hint="default" w:ascii="Calibri" w:hAnsi="宋体" w:eastAsia="宋体"/>
                              <w:color w:val="auto"/>
                              <w:position w:val="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 xml:space="preserve"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default" w:ascii="Calibri" w:hAnsi="宋体" w:eastAsia="宋体"/>
                              <w:color w:val="auto"/>
                              <w:position w:val="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hint="default" w:ascii="Calibri" w:hAnsi="宋体" w:eastAsia="宋体"/>
                              <w:color w:val="auto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hint="default" w:ascii="Calibri" w:hAnsi="宋体" w:eastAsia="宋体"/>
                              <w:color w:val="auto"/>
                              <w:position w:val="0"/>
                              <w:sz w:val="18"/>
                              <w:szCs w:val="18"/>
                            </w:rPr>
                            <w:t xml:space="preserve"> 页 共 </w:t>
                          </w:r>
                          <w:r>
                            <w:rPr>
                              <w:rFonts w:hint="default" w:ascii="Calibri" w:hAnsi="宋体" w:eastAsia="宋体"/>
                              <w:color w:val="auto"/>
                              <w:position w:val="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 xml:space="preserve">NUMPAGES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default" w:ascii="Calibri" w:hAnsi="宋体" w:eastAsia="宋体"/>
                              <w:color w:val="auto"/>
                              <w:position w:val="0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hint="default" w:ascii="Calibri" w:hAnsi="宋体" w:eastAsia="宋体"/>
                              <w:color w:val="auto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hint="default" w:ascii="Calibri" w:hAnsi="宋体" w:eastAsia="宋体"/>
                              <w:color w:val="auto"/>
                              <w:position w:val="0"/>
                              <w:sz w:val="18"/>
                              <w:szCs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9.65pt;width:67.6pt;mso-position-horizontal:center;mso-position-horizontal-relative:margin;mso-wrap-style:none;z-index:251625472;mso-width-relative:page;mso-height-relative:page;" filled="f" stroked="f" coordsize="21600,21600" o:gfxdata="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0FXd20gAAAAQBAAAPAAAA&#10;AAAAAAEAIAAAACIAAABkcnMvZG93bnJldi54bWxQSwECFAAUAAAACACHTuJANMxONhsCAAAQBAAA&#10;DgAAAAAAAAABACAAAAAh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numPr>
                        <w:ilvl w:val="0"/>
                        <w:numId w:val="0"/>
                      </w:numPr>
                      <w:autoSpaceDE/>
                      <w:autoSpaceDN/>
                      <w:snapToGrid w:val="0"/>
                      <w:spacing w:before="0" w:after="160" w:line="240" w:lineRule="auto"/>
                      <w:ind w:left="0" w:right="0" w:firstLine="0"/>
                      <w:jc w:val="left"/>
                      <w:rPr>
                        <w:rFonts w:hint="default" w:ascii="Calibri" w:hAnsi="宋体" w:eastAsia="宋体"/>
                        <w:color w:val="auto"/>
                        <w:position w:val="0"/>
                        <w:sz w:val="18"/>
                        <w:szCs w:val="18"/>
                      </w:rPr>
                    </w:pPr>
                    <w:r>
                      <w:rPr>
                        <w:rFonts w:hint="default" w:ascii="Calibri" w:hAnsi="宋体" w:eastAsia="宋体"/>
                        <w:color w:val="auto"/>
                        <w:position w:val="0"/>
                        <w:sz w:val="18"/>
                        <w:szCs w:val="18"/>
                      </w:rPr>
                      <w:t xml:space="preserve">第 </w:t>
                    </w:r>
                    <w:r>
                      <w:rPr>
                        <w:rFonts w:hint="default" w:ascii="Calibri" w:hAnsi="宋体" w:eastAsia="宋体"/>
                        <w:color w:val="auto"/>
                        <w:position w:val="0"/>
                        <w:sz w:val="18"/>
                        <w:szCs w:val="18"/>
                      </w:rPr>
                      <w:fldChar w:fldCharType="begin"/>
                    </w:r>
                    <w:r>
                      <w:instrText xml:space="preserve">PAGE  \* MERGEFORMAT</w:instrText>
                    </w:r>
                    <w:r>
                      <w:fldChar w:fldCharType="separate"/>
                    </w:r>
                    <w:r>
                      <w:rPr>
                        <w:rFonts w:hint="default" w:ascii="Calibri" w:hAnsi="宋体" w:eastAsia="宋体"/>
                        <w:color w:val="auto"/>
                        <w:position w:val="0"/>
                        <w:sz w:val="18"/>
                        <w:szCs w:val="18"/>
                      </w:rPr>
                      <w:t>7</w:t>
                    </w:r>
                    <w:r>
                      <w:rPr>
                        <w:rFonts w:hint="default" w:ascii="Calibri" w:hAnsi="宋体" w:eastAsia="宋体"/>
                        <w:color w:val="auto"/>
                        <w:position w:val="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hint="default" w:ascii="Calibri" w:hAnsi="宋体" w:eastAsia="宋体"/>
                        <w:color w:val="auto"/>
                        <w:position w:val="0"/>
                        <w:sz w:val="18"/>
                        <w:szCs w:val="18"/>
                      </w:rPr>
                      <w:t xml:space="preserve"> 页 共 </w:t>
                    </w:r>
                    <w:r>
                      <w:rPr>
                        <w:rFonts w:hint="default" w:ascii="Calibri" w:hAnsi="宋体" w:eastAsia="宋体"/>
                        <w:color w:val="auto"/>
                        <w:position w:val="0"/>
                        <w:sz w:val="18"/>
                        <w:szCs w:val="18"/>
                      </w:rPr>
                      <w:fldChar w:fldCharType="begin"/>
                    </w:r>
                    <w:r>
                      <w:instrText xml:space="preserve">NUMPAGES  \* MERGEFORMAT</w:instrText>
                    </w:r>
                    <w:r>
                      <w:fldChar w:fldCharType="separate"/>
                    </w:r>
                    <w:r>
                      <w:rPr>
                        <w:rFonts w:hint="default" w:ascii="Calibri" w:hAnsi="宋体" w:eastAsia="宋体"/>
                        <w:color w:val="auto"/>
                        <w:position w:val="0"/>
                        <w:sz w:val="18"/>
                        <w:szCs w:val="18"/>
                      </w:rPr>
                      <w:t>8</w:t>
                    </w:r>
                    <w:r>
                      <w:rPr>
                        <w:rFonts w:hint="default" w:ascii="Calibri" w:hAnsi="宋体" w:eastAsia="宋体"/>
                        <w:color w:val="auto"/>
                        <w:position w:val="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hint="default" w:ascii="Calibri" w:hAnsi="宋体" w:eastAsia="宋体"/>
                        <w:color w:val="auto"/>
                        <w:position w:val="0"/>
                        <w:sz w:val="18"/>
                        <w:szCs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multilevel"/>
    <w:tmpl w:val="2F000000"/>
    <w:lvl w:ilvl="0" w:tentative="0">
      <w:start w:val="2"/>
      <w:numFmt w:val="decimal"/>
      <w:suff w:val="space"/>
      <w:lvlText w:val="第%1部分"/>
      <w:lvlJc w:val="left"/>
      <w:rPr>
        <w:w w:val="100"/>
        <w:sz w:val="20"/>
        <w:szCs w:val="20"/>
        <w:shd w:val="clear"/>
      </w:rPr>
    </w:lvl>
    <w:lvl w:ilvl="1" w:tentative="0">
      <w:start w:val="2"/>
      <w:numFmt w:val="decimal"/>
      <w:suff w:val="space"/>
      <w:lvlText w:val="第%1部分"/>
      <w:lvlJc w:val="left"/>
      <w:rPr>
        <w:w w:val="100"/>
        <w:sz w:val="20"/>
        <w:szCs w:val="20"/>
        <w:shd w:val="clear"/>
      </w:rPr>
    </w:lvl>
    <w:lvl w:ilvl="2" w:tentative="0">
      <w:start w:val="2"/>
      <w:numFmt w:val="decimal"/>
      <w:suff w:val="space"/>
      <w:lvlText w:val="第%1部分"/>
      <w:lvlJc w:val="left"/>
      <w:rPr>
        <w:w w:val="100"/>
        <w:sz w:val="20"/>
        <w:szCs w:val="20"/>
        <w:shd w:val="clear"/>
      </w:rPr>
    </w:lvl>
    <w:lvl w:ilvl="3" w:tentative="0">
      <w:start w:val="2"/>
      <w:numFmt w:val="decimal"/>
      <w:suff w:val="space"/>
      <w:lvlText w:val="第%1部分"/>
      <w:lvlJc w:val="left"/>
      <w:rPr>
        <w:w w:val="100"/>
        <w:sz w:val="20"/>
        <w:szCs w:val="20"/>
        <w:shd w:val="clear"/>
      </w:rPr>
    </w:lvl>
    <w:lvl w:ilvl="4" w:tentative="0">
      <w:start w:val="2"/>
      <w:numFmt w:val="decimal"/>
      <w:suff w:val="space"/>
      <w:lvlText w:val="第%1部分"/>
      <w:lvlJc w:val="left"/>
      <w:rPr>
        <w:w w:val="100"/>
        <w:sz w:val="20"/>
        <w:szCs w:val="20"/>
        <w:shd w:val="clear"/>
      </w:rPr>
    </w:lvl>
    <w:lvl w:ilvl="5" w:tentative="0">
      <w:start w:val="2"/>
      <w:numFmt w:val="decimal"/>
      <w:suff w:val="space"/>
      <w:lvlText w:val="第%1部分"/>
      <w:lvlJc w:val="left"/>
      <w:rPr>
        <w:w w:val="100"/>
        <w:sz w:val="20"/>
        <w:szCs w:val="20"/>
        <w:shd w:val="clear"/>
      </w:rPr>
    </w:lvl>
    <w:lvl w:ilvl="6" w:tentative="0">
      <w:start w:val="2"/>
      <w:numFmt w:val="decimal"/>
      <w:suff w:val="space"/>
      <w:lvlText w:val="第%1部分"/>
      <w:lvlJc w:val="left"/>
      <w:rPr>
        <w:w w:val="100"/>
        <w:sz w:val="20"/>
        <w:szCs w:val="20"/>
        <w:shd w:val="clear"/>
      </w:rPr>
    </w:lvl>
    <w:lvl w:ilvl="7" w:tentative="0">
      <w:start w:val="2"/>
      <w:numFmt w:val="decimal"/>
      <w:suff w:val="space"/>
      <w:lvlText w:val="第%1部分"/>
      <w:lvlJc w:val="left"/>
      <w:rPr>
        <w:w w:val="100"/>
        <w:sz w:val="20"/>
        <w:szCs w:val="20"/>
        <w:shd w:val="clear"/>
      </w:rPr>
    </w:lvl>
    <w:lvl w:ilvl="8" w:tentative="0">
      <w:start w:val="2"/>
      <w:numFmt w:val="decimal"/>
      <w:suff w:val="space"/>
      <w:lvlText w:val="第%1部分"/>
      <w:lvlJc w:val="left"/>
      <w:rPr>
        <w:w w:val="100"/>
        <w:sz w:val="20"/>
        <w:szCs w:val="20"/>
        <w:shd w:val="clear"/>
      </w:rPr>
    </w:lvl>
  </w:abstractNum>
  <w:abstractNum w:abstractNumId="1">
    <w:nsid w:val="2F000001"/>
    <w:multiLevelType w:val="multilevel"/>
    <w:tmpl w:val="2F000001"/>
    <w:lvl w:ilvl="0" w:tentative="0">
      <w:start w:val="5"/>
      <w:numFmt w:val="decimal"/>
      <w:suff w:val="nothing"/>
      <w:lvlText w:val="（%1）"/>
      <w:lvlJc w:val="left"/>
      <w:rPr>
        <w:w w:val="100"/>
        <w:sz w:val="20"/>
        <w:szCs w:val="20"/>
        <w:shd w:val="clear"/>
      </w:rPr>
    </w:lvl>
    <w:lvl w:ilvl="1" w:tentative="0">
      <w:start w:val="5"/>
      <w:numFmt w:val="decimal"/>
      <w:suff w:val="nothing"/>
      <w:lvlText w:val="（%1）"/>
      <w:lvlJc w:val="left"/>
      <w:rPr>
        <w:w w:val="100"/>
        <w:sz w:val="20"/>
        <w:szCs w:val="20"/>
        <w:shd w:val="clear"/>
      </w:rPr>
    </w:lvl>
    <w:lvl w:ilvl="2" w:tentative="0">
      <w:start w:val="5"/>
      <w:numFmt w:val="decimal"/>
      <w:suff w:val="nothing"/>
      <w:lvlText w:val="（%1）"/>
      <w:lvlJc w:val="left"/>
      <w:rPr>
        <w:w w:val="100"/>
        <w:sz w:val="20"/>
        <w:szCs w:val="20"/>
        <w:shd w:val="clear"/>
      </w:rPr>
    </w:lvl>
    <w:lvl w:ilvl="3" w:tentative="0">
      <w:start w:val="5"/>
      <w:numFmt w:val="decimal"/>
      <w:suff w:val="nothing"/>
      <w:lvlText w:val="（%1）"/>
      <w:lvlJc w:val="left"/>
      <w:rPr>
        <w:w w:val="100"/>
        <w:sz w:val="20"/>
        <w:szCs w:val="20"/>
        <w:shd w:val="clear"/>
      </w:rPr>
    </w:lvl>
    <w:lvl w:ilvl="4" w:tentative="0">
      <w:start w:val="5"/>
      <w:numFmt w:val="decimal"/>
      <w:suff w:val="nothing"/>
      <w:lvlText w:val="（%1）"/>
      <w:lvlJc w:val="left"/>
      <w:rPr>
        <w:w w:val="100"/>
        <w:sz w:val="20"/>
        <w:szCs w:val="20"/>
        <w:shd w:val="clear"/>
      </w:rPr>
    </w:lvl>
    <w:lvl w:ilvl="5" w:tentative="0">
      <w:start w:val="5"/>
      <w:numFmt w:val="decimal"/>
      <w:suff w:val="nothing"/>
      <w:lvlText w:val="（%1）"/>
      <w:lvlJc w:val="left"/>
      <w:rPr>
        <w:w w:val="100"/>
        <w:sz w:val="20"/>
        <w:szCs w:val="20"/>
        <w:shd w:val="clear"/>
      </w:rPr>
    </w:lvl>
    <w:lvl w:ilvl="6" w:tentative="0">
      <w:start w:val="5"/>
      <w:numFmt w:val="decimal"/>
      <w:suff w:val="nothing"/>
      <w:lvlText w:val="（%1）"/>
      <w:lvlJc w:val="left"/>
      <w:rPr>
        <w:w w:val="100"/>
        <w:sz w:val="20"/>
        <w:szCs w:val="20"/>
        <w:shd w:val="clear"/>
      </w:rPr>
    </w:lvl>
    <w:lvl w:ilvl="7" w:tentative="0">
      <w:start w:val="5"/>
      <w:numFmt w:val="decimal"/>
      <w:suff w:val="nothing"/>
      <w:lvlText w:val="（%1）"/>
      <w:lvlJc w:val="left"/>
      <w:rPr>
        <w:w w:val="100"/>
        <w:sz w:val="20"/>
        <w:szCs w:val="20"/>
        <w:shd w:val="clear"/>
      </w:rPr>
    </w:lvl>
    <w:lvl w:ilvl="8" w:tentative="0">
      <w:start w:val="5"/>
      <w:numFmt w:val="decimal"/>
      <w:suff w:val="nothing"/>
      <w:lvlText w:val="（%1）"/>
      <w:lvlJc w:val="left"/>
      <w:rPr>
        <w:w w:val="100"/>
        <w:sz w:val="20"/>
        <w:szCs w:val="20"/>
        <w:shd w:val="clear"/>
      </w:rPr>
    </w:lvl>
  </w:abstractNum>
  <w:abstractNum w:abstractNumId="2">
    <w:nsid w:val="2F000002"/>
    <w:multiLevelType w:val="multilevel"/>
    <w:tmpl w:val="2F000002"/>
    <w:lvl w:ilvl="0" w:tentative="0">
      <w:start w:val="2"/>
      <w:numFmt w:val="japaneseCounting"/>
      <w:suff w:val="nothing"/>
      <w:lvlText w:val="（%1）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仿宋" w:hAnsi="仿宋" w:eastAsia="仿宋"/>
        <w:w w:val="100"/>
        <w:sz w:val="32"/>
        <w:szCs w:val="32"/>
        <w:shd w:val="clear"/>
      </w:rPr>
    </w:lvl>
    <w:lvl w:ilvl="1" w:tentative="0">
      <w:start w:val="2"/>
      <w:numFmt w:val="japaneseCounting"/>
      <w:suff w:val="nothing"/>
      <w:lvlText w:val="（%1）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仿宋" w:hAnsi="仿宋" w:eastAsia="仿宋"/>
        <w:w w:val="100"/>
        <w:sz w:val="32"/>
        <w:szCs w:val="32"/>
        <w:shd w:val="clear"/>
      </w:rPr>
    </w:lvl>
    <w:lvl w:ilvl="2" w:tentative="0">
      <w:start w:val="2"/>
      <w:numFmt w:val="japaneseCounting"/>
      <w:suff w:val="nothing"/>
      <w:lvlText w:val="（%1）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仿宋" w:hAnsi="仿宋" w:eastAsia="仿宋"/>
        <w:w w:val="100"/>
        <w:sz w:val="32"/>
        <w:szCs w:val="32"/>
        <w:shd w:val="clear"/>
      </w:rPr>
    </w:lvl>
    <w:lvl w:ilvl="3" w:tentative="0">
      <w:start w:val="2"/>
      <w:numFmt w:val="japaneseCounting"/>
      <w:suff w:val="nothing"/>
      <w:lvlText w:val="（%1）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仿宋" w:hAnsi="仿宋" w:eastAsia="仿宋"/>
        <w:w w:val="100"/>
        <w:sz w:val="32"/>
        <w:szCs w:val="32"/>
        <w:shd w:val="clear"/>
      </w:rPr>
    </w:lvl>
    <w:lvl w:ilvl="4" w:tentative="0">
      <w:start w:val="2"/>
      <w:numFmt w:val="japaneseCounting"/>
      <w:suff w:val="nothing"/>
      <w:lvlText w:val="（%1）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仿宋" w:hAnsi="仿宋" w:eastAsia="仿宋"/>
        <w:w w:val="100"/>
        <w:sz w:val="32"/>
        <w:szCs w:val="32"/>
        <w:shd w:val="clear"/>
      </w:rPr>
    </w:lvl>
    <w:lvl w:ilvl="5" w:tentative="0">
      <w:start w:val="2"/>
      <w:numFmt w:val="japaneseCounting"/>
      <w:suff w:val="nothing"/>
      <w:lvlText w:val="（%1）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仿宋" w:hAnsi="仿宋" w:eastAsia="仿宋"/>
        <w:w w:val="100"/>
        <w:sz w:val="32"/>
        <w:szCs w:val="32"/>
        <w:shd w:val="clear"/>
      </w:rPr>
    </w:lvl>
    <w:lvl w:ilvl="6" w:tentative="0">
      <w:start w:val="2"/>
      <w:numFmt w:val="japaneseCounting"/>
      <w:suff w:val="nothing"/>
      <w:lvlText w:val="（%1）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仿宋" w:hAnsi="仿宋" w:eastAsia="仿宋"/>
        <w:w w:val="100"/>
        <w:sz w:val="32"/>
        <w:szCs w:val="32"/>
        <w:shd w:val="clear"/>
      </w:rPr>
    </w:lvl>
    <w:lvl w:ilvl="7" w:tentative="0">
      <w:start w:val="2"/>
      <w:numFmt w:val="japaneseCounting"/>
      <w:suff w:val="nothing"/>
      <w:lvlText w:val="（%1）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仿宋" w:hAnsi="仿宋" w:eastAsia="仿宋"/>
        <w:w w:val="100"/>
        <w:sz w:val="32"/>
        <w:szCs w:val="32"/>
        <w:shd w:val="clear"/>
      </w:rPr>
    </w:lvl>
    <w:lvl w:ilvl="8" w:tentative="0">
      <w:start w:val="2"/>
      <w:numFmt w:val="japaneseCounting"/>
      <w:suff w:val="nothing"/>
      <w:lvlText w:val="（%1）"/>
      <w:lvlJc w:val="left"/>
      <w:pPr>
        <w:pageBreakBefore w:val="0"/>
        <w:widowControl/>
        <w:kinsoku/>
        <w:overflowPunct/>
        <w:autoSpaceDE/>
        <w:autoSpaceDN/>
        <w:ind w:firstLine="0"/>
        <w:jc w:val="both"/>
        <w:textAlignment w:val="baseline"/>
      </w:pPr>
      <w:rPr>
        <w:rFonts w:ascii="仿宋" w:hAnsi="仿宋" w:eastAsia="仿宋"/>
        <w:w w:val="100"/>
        <w:sz w:val="32"/>
        <w:szCs w:val="32"/>
        <w:shd w:val="clea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000000"/>
    <w:rsid w:val="19972056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153" w:semiHidden="0" w:name="header"/>
    <w:lsdException w:qFormat="1" w:unhideWhenUsed="0" w:uiPriority="152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155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154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8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Times New Roman" w:hAnsi="Times New Roman" w:eastAsia="Times New Roman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Times New Roman" w:hAnsi="Times New Roman" w:eastAsia="Times New Roman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Times New Roman" w:hAnsi="Times New Roman" w:eastAsia="Times New Roman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character" w:default="1" w:styleId="27">
    <w:name w:val="Default Paragraph Font"/>
    <w:semiHidden/>
    <w:qFormat/>
    <w:uiPriority w:val="2"/>
  </w:style>
  <w:style w:type="table" w:default="1" w:styleId="25">
    <w:name w:val="Normal Table"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5">
    <w:name w:val="footer"/>
    <w:basedOn w:val="1"/>
    <w:qFormat/>
    <w:uiPriority w:val="152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6">
    <w:name w:val="header"/>
    <w:basedOn w:val="1"/>
    <w:qFormat/>
    <w:uiPriority w:val="153"/>
    <w:pPr>
      <w:widowControl/>
      <w:tabs>
        <w:tab w:val="center" w:pos="4153"/>
        <w:tab w:val="right" w:pos="8306"/>
      </w:tabs>
      <w:wordWrap/>
      <w:autoSpaceDE/>
      <w:autoSpaceDN/>
      <w:jc w:val="both"/>
    </w:pPr>
    <w:rPr>
      <w:w w:val="100"/>
      <w:sz w:val="18"/>
      <w:szCs w:val="18"/>
      <w:shd w:val="clear"/>
    </w:rPr>
  </w:style>
  <w:style w:type="paragraph" w:styleId="17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8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19">
    <w:name w:val="Subtitle"/>
    <w:qFormat/>
    <w:uiPriority w:val="16"/>
    <w:pPr>
      <w:widowControl/>
      <w:wordWrap/>
      <w:autoSpaceDE/>
      <w:autoSpaceDN/>
      <w:jc w:val="center"/>
    </w:pPr>
    <w:rPr>
      <w:rFonts w:ascii="Times New Roman" w:hAnsi="Times New Roman" w:eastAsia="Times New Roman"/>
      <w:w w:val="100"/>
      <w:sz w:val="24"/>
      <w:szCs w:val="24"/>
      <w:shd w:val="clear"/>
    </w:rPr>
  </w:style>
  <w:style w:type="paragraph" w:styleId="20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21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22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styleId="23">
    <w:name w:val="Normal (Web)"/>
    <w:basedOn w:val="1"/>
    <w:qFormat/>
    <w:uiPriority w:val="154"/>
    <w:pPr>
      <w:widowControl/>
      <w:wordWrap/>
      <w:autoSpaceDE/>
      <w:autoSpaceDN/>
      <w:ind w:firstLine="0"/>
    </w:pPr>
    <w:rPr>
      <w:rFonts w:ascii="宋体" w:hAnsi="宋体" w:eastAsia="宋体"/>
      <w:w w:val="100"/>
      <w:sz w:val="24"/>
      <w:szCs w:val="24"/>
      <w:shd w:val="clear"/>
    </w:rPr>
  </w:style>
  <w:style w:type="paragraph" w:styleId="24">
    <w:name w:val="Title"/>
    <w:qFormat/>
    <w:uiPriority w:val="6"/>
    <w:pPr>
      <w:widowControl/>
      <w:wordWrap/>
      <w:autoSpaceDE/>
      <w:autoSpaceDN/>
      <w:jc w:val="center"/>
    </w:pPr>
    <w:rPr>
      <w:rFonts w:ascii="Times New Roman" w:hAnsi="Times New Roman" w:eastAsia="Times New Roman"/>
      <w:b/>
      <w:w w:val="100"/>
      <w:sz w:val="32"/>
      <w:szCs w:val="32"/>
      <w:shd w:val="clear"/>
    </w:rPr>
  </w:style>
  <w:style w:type="table" w:styleId="26">
    <w:name w:val="Table Grid"/>
    <w:qFormat/>
    <w:uiPriority w:val="38"/>
    <w:pPr>
      <w:widowControl/>
      <w:wordWrap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8">
    <w:name w:val="Strong"/>
    <w:basedOn w:val="27"/>
    <w:qFormat/>
    <w:uiPriority w:val="20"/>
    <w:rPr>
      <w:b/>
      <w:w w:val="100"/>
      <w:sz w:val="20"/>
      <w:szCs w:val="20"/>
      <w:shd w:val="clear"/>
    </w:rPr>
  </w:style>
  <w:style w:type="character" w:styleId="29">
    <w:name w:val="Emphasis"/>
    <w:qFormat/>
    <w:uiPriority w:val="18"/>
    <w:rPr>
      <w:i/>
      <w:w w:val="100"/>
      <w:sz w:val="21"/>
      <w:szCs w:val="21"/>
      <w:shd w:val="clear"/>
    </w:rPr>
  </w:style>
  <w:style w:type="character" w:styleId="30">
    <w:name w:val="Hyperlink"/>
    <w:basedOn w:val="27"/>
    <w:qFormat/>
    <w:uiPriority w:val="155"/>
    <w:rPr>
      <w:color w:val="0000FF"/>
      <w:w w:val="100"/>
      <w:sz w:val="20"/>
      <w:szCs w:val="20"/>
      <w:u w:val="single"/>
      <w:shd w:val="clear"/>
    </w:rPr>
  </w:style>
  <w:style w:type="paragraph" w:styleId="31">
    <w:name w:val="No Spacing"/>
    <w:qFormat/>
    <w:uiPriority w:val="5"/>
    <w:pPr>
      <w:widowControl/>
      <w:wordWrap/>
      <w:autoSpaceDE/>
      <w:autoSpaceDN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character" w:customStyle="1" w:styleId="32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3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4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Times New Roman" w:hAnsi="Times New Roman" w:eastAsia="Times New Roman"/>
      <w:i/>
      <w:color w:val="404040"/>
      <w:w w:val="100"/>
      <w:sz w:val="21"/>
      <w:szCs w:val="21"/>
      <w:shd w:val="clear"/>
    </w:rPr>
  </w:style>
  <w:style w:type="paragraph" w:styleId="35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Times New Roman" w:hAnsi="Times New Roman" w:eastAsia="Times New Roman"/>
      <w:i/>
      <w:color w:val="5B9BD5"/>
      <w:w w:val="100"/>
      <w:sz w:val="21"/>
      <w:szCs w:val="21"/>
      <w:shd w:val="clear"/>
    </w:rPr>
  </w:style>
  <w:style w:type="character" w:customStyle="1" w:styleId="36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7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8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9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/>
      <w:w w:val="100"/>
      <w:sz w:val="21"/>
      <w:szCs w:val="21"/>
      <w:shd w:val="clear"/>
    </w:rPr>
  </w:style>
  <w:style w:type="paragraph" w:customStyle="1" w:styleId="40">
    <w:name w:val="TOC Heading"/>
    <w:unhideWhenUsed/>
    <w:qFormat/>
    <w:uiPriority w:val="27"/>
    <w:pPr>
      <w:widowControl/>
      <w:wordWrap/>
      <w:autoSpaceDE/>
      <w:autoSpaceDN/>
    </w:pPr>
    <w:rPr>
      <w:rFonts w:ascii="Times New Roman" w:hAnsi="Times New Roman" w:eastAsia="Times New Roman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2019-04-28T03:45:18Z</dcterms:created>
  <dc:creator>ACER</dc:creator>
  <cp:lastModifiedBy>Administrator</cp:lastModifiedBy>
  <dcterms:modified xsi:type="dcterms:W3CDTF">2019-04-28T03:47:07Z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