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ascii="仿宋" w:hAnsi="仿宋" w:eastAsia="仿宋" w:cs="仿宋"/>
          <w:sz w:val="32"/>
          <w:szCs w:val="32"/>
        </w:rPr>
      </w:pPr>
      <w:r>
        <w:rPr>
          <w:rFonts w:ascii="仿宋" w:hAnsi="仿宋" w:eastAsia="仿宋" w:cs="仿宋"/>
          <w:sz w:val="32"/>
          <w:szCs w:val="32"/>
        </w:rPr>
        <w:t>尼玛县达果乡2018年度部门决算公开</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目 录</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第一部分 尼玛县达果乡概况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一、部门决算单位构成</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二、部门职责和机构设置</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第二部分 尼玛县达果乡2018年度部门决算表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xml:space="preserve">一、收支决算总表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二、收入决算总表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三、支出决算总表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四、财政拨款收支决算总表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五、一般公共预算财政拨款支出决算表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七、一般公共预算相关经费支出决算表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第三部分 尼玛县达果乡2018年度部门决算数据说明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一、2018年度一般公共预算收支总体情况说明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二、2018年度一般公共预算收入情况说明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三、2018年度一般公共预算支出情况说明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xml:space="preserve">四、2018年度一般公共预算财政拨款支出情况说明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五、2018年度“三公”及相关经费预决算情况说明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六、2018年度机关运行情况说明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七、政府采购情况说明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八、国有资产占有使用情况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九、预算绩效情况说明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十、其他重要事项说明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第四部分 名词解释</w:t>
      </w: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both"/>
        <w:rPr>
          <w:rFonts w:ascii="仿宋" w:hAnsi="仿宋" w:eastAsia="仿宋" w:cs="仿宋"/>
          <w:sz w:val="32"/>
          <w:szCs w:val="32"/>
        </w:rPr>
      </w:pPr>
    </w:p>
    <w:p>
      <w:pPr>
        <w:pStyle w:val="5"/>
        <w:widowControl/>
        <w:spacing w:before="226" w:after="226" w:line="420" w:lineRule="atLeast"/>
        <w:jc w:val="both"/>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第一部分 尼玛县达果乡概况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一、部门决算单位构成</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xml:space="preserve">尼玛县达果乡人民政府组成部门,财政一级预算单位,此次决算公开范围为达果乡机关。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二、部门职责和机构设置</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(一)部门职责</w:t>
      </w:r>
    </w:p>
    <w:p>
      <w:pPr>
        <w:pStyle w:val="5"/>
        <w:widowControl/>
        <w:spacing w:before="225" w:after="30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达果乡设综合办事机构，分别为党政办公室、农牧民综合办公室、财政所，在党政办公室挂安全生产办公室、环境保护办公室，扶贫办办公室牌子，设3个直属事业机构，即农业服务中心、卫生院、文化站。</w:t>
      </w:r>
    </w:p>
    <w:p>
      <w:pPr>
        <w:pStyle w:val="5"/>
        <w:widowControl/>
        <w:spacing w:before="225" w:after="30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1、党政办公室职能职责：负责组织、人事、宣传、统计、纪检、综治办、人大、保密、信息、文书档案管理、后勤保障和党政日常工作。负责财政所和国有次产管理、负责计划生育管理、民政、老龄、残疾人事业和信访、矛盾纠纷排查调处等工作。</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经济发展办公室职能职责：负责农业、农村经营呢管理和农业产业化发展、统计、安全生产等工作；负责土地管理、村乡建设，环境保护等工作、负责农村土地承包管理去、农民负担监督管理和农村集体财务管理工作。</w:t>
      </w:r>
    </w:p>
    <w:p>
      <w:pPr>
        <w:pStyle w:val="5"/>
        <w:widowControl/>
        <w:spacing w:before="225" w:after="300" w:line="45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3、财政所职能职责：组织预算收支执行、监督财政资金使用，落实惠农惠民资金政策，指导乡村财务管理等。贯彻执行各项财经法律、法规和制度；负责编报乡镇年度财政收支预算、决算并组织预算执行，协助税务机关和非税务收入执收部门征缴财政收入，协助有关机构代收代缴各类社会保障资金；负责各项惠民资金的审核发放和项目建设资金的监督管理；负责本乡的国有资产和政策性的债权债务；指导和监督本乡行政事业单位的财务管理；接受委托代管村级财务、债权债务和集体资产，负责乡镇财务信息公开工作。</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4、农业综合中心职能职责：农牧业生产中关键技术和新品种、新农具的引进、动物防疫及农业灾害的预测、预报防治和处置。</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文化站智能职责是向广大人民群众进行宣传教育，研究文化活动规律，创作文艺作品，组织、辅导群众开展文体活动、普及科学文化知识、并提供活动场所，文化站建设是公共文化服务体系重要工程之一，是精神文明建设的重要窗口。</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卫生院职能职责组织领导群众卫生运动，培训卫生技术人员，并对基层卫生医疗机构进行业务指导和会诊工作。担负着医疗防疫保健的重要任务，是直接农村看病难看病贵的重要一关。严格执行新型农村合作医疗政策规定，旅行定点医疗机构职责，做好有关的政策宣传、监督及服务工作。</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7、拟定乡财政监督检查制度；监督检查财税法规、政策的执行情况，反映财政收支管理中的重大问题。</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color w:val="000000"/>
          <w:sz w:val="32"/>
          <w:szCs w:val="32"/>
        </w:rPr>
        <w:t>8、承办乡政府交办的其他事项。</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(二)部门机构设置</w:t>
      </w:r>
    </w:p>
    <w:p>
      <w:pPr>
        <w:pStyle w:val="5"/>
        <w:widowControl/>
        <w:spacing w:before="226" w:after="226" w:line="42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我乡隶属行政机构，人员编制44人，行政人员编制　14人。2018年底，我乡在职职工45人（借出7人），其中：正科干部2人、副科级部9人，科员及以下干部34人。我乡共设置党委办公室、政府办公室、书记办公室、乡长办公室、人大办公室、综治办、扶贫办公室、卫生院、文化站、农技站、等内设机构。我乡认可车辆为6俩，其中</w:t>
      </w:r>
      <w:bookmarkStart w:id="0" w:name="OLE_LINK1"/>
      <w:r>
        <w:rPr>
          <w:rFonts w:hint="eastAsia" w:ascii="仿宋" w:hAnsi="仿宋" w:eastAsia="仿宋" w:cs="仿宋"/>
          <w:sz w:val="32"/>
          <w:szCs w:val="32"/>
        </w:rPr>
        <w:t>越野车3俩</w:t>
      </w:r>
      <w:bookmarkEnd w:id="0"/>
      <w:r>
        <w:rPr>
          <w:rFonts w:hint="eastAsia" w:ascii="仿宋" w:hAnsi="仿宋" w:eastAsia="仿宋" w:cs="仿宋"/>
          <w:sz w:val="32"/>
          <w:szCs w:val="32"/>
        </w:rPr>
        <w:t>，单位实有车辆6俩（其中：越野车4俩，东风车1俩、环保车1俩）。</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第二部分 尼玛县达果乡2018年度部门决算表</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(详见附表1-8)</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第三部分 尼玛县达果乡2018年度部门决算数据说明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一、2018年度一般公共预算收支总体情况说明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我乡2018年度总收入73</w:t>
      </w:r>
      <w:r>
        <w:rPr>
          <w:rFonts w:hint="default" w:ascii="仿宋" w:hAnsi="仿宋" w:eastAsia="仿宋" w:cs="仿宋"/>
          <w:sz w:val="32"/>
          <w:szCs w:val="32"/>
          <w:lang w:val="en-US"/>
        </w:rPr>
        <w:t>9.00</w:t>
      </w:r>
      <w:r>
        <w:rPr>
          <w:rFonts w:hint="eastAsia" w:ascii="仿宋" w:hAnsi="仿宋" w:eastAsia="仿宋" w:cs="仿宋"/>
          <w:sz w:val="32"/>
          <w:szCs w:val="32"/>
        </w:rPr>
        <w:t>万元,总支出715.50万元,结转结余23.</w:t>
      </w:r>
      <w:r>
        <w:rPr>
          <w:rFonts w:hint="default" w:ascii="仿宋" w:hAnsi="仿宋" w:eastAsia="仿宋" w:cs="仿宋"/>
          <w:sz w:val="32"/>
          <w:szCs w:val="32"/>
          <w:lang w:val="en-US"/>
        </w:rPr>
        <w:t>50</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二、2018年度一般公共预算收入情况说明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2018年度总收入73</w:t>
      </w:r>
      <w:r>
        <w:rPr>
          <w:rFonts w:hint="default" w:ascii="仿宋" w:hAnsi="仿宋" w:eastAsia="仿宋" w:cs="仿宋"/>
          <w:sz w:val="32"/>
          <w:szCs w:val="32"/>
          <w:lang w:val="en-US"/>
        </w:rPr>
        <w:t>9</w:t>
      </w:r>
      <w:r>
        <w:rPr>
          <w:rFonts w:hint="eastAsia" w:ascii="仿宋" w:hAnsi="仿宋" w:eastAsia="仿宋" w:cs="仿宋"/>
          <w:sz w:val="32"/>
          <w:szCs w:val="32"/>
        </w:rPr>
        <w:t>.</w:t>
      </w:r>
      <w:r>
        <w:rPr>
          <w:rFonts w:hint="default" w:ascii="仿宋" w:hAnsi="仿宋" w:eastAsia="仿宋" w:cs="仿宋"/>
          <w:sz w:val="32"/>
          <w:szCs w:val="32"/>
          <w:lang w:val="en-US"/>
        </w:rPr>
        <w:t>00</w:t>
      </w:r>
      <w:r>
        <w:rPr>
          <w:rFonts w:hint="eastAsia" w:ascii="仿宋" w:hAnsi="仿宋" w:eastAsia="仿宋" w:cs="仿宋"/>
          <w:sz w:val="32"/>
          <w:szCs w:val="32"/>
        </w:rPr>
        <w:t>万元,其中:当年财政拨款收入73</w:t>
      </w:r>
      <w:r>
        <w:rPr>
          <w:rFonts w:hint="default" w:ascii="仿宋" w:hAnsi="仿宋" w:eastAsia="仿宋" w:cs="仿宋"/>
          <w:sz w:val="32"/>
          <w:szCs w:val="32"/>
          <w:lang w:val="en-US"/>
        </w:rPr>
        <w:t>9</w:t>
      </w:r>
      <w:r>
        <w:rPr>
          <w:rFonts w:hint="eastAsia" w:ascii="仿宋" w:hAnsi="仿宋" w:eastAsia="仿宋" w:cs="仿宋"/>
          <w:sz w:val="32"/>
          <w:szCs w:val="32"/>
        </w:rPr>
        <w:t>.</w:t>
      </w:r>
      <w:r>
        <w:rPr>
          <w:rFonts w:hint="default" w:ascii="仿宋" w:hAnsi="仿宋" w:eastAsia="仿宋" w:cs="仿宋"/>
          <w:sz w:val="32"/>
          <w:szCs w:val="32"/>
          <w:lang w:val="en-US"/>
        </w:rPr>
        <w:t>00</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三、2018年度一般公共预算支出情况说明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2018年度全年总支出715.50万元,其中:财政拨款支出715.</w:t>
      </w:r>
      <w:r>
        <w:rPr>
          <w:rFonts w:hint="default" w:ascii="仿宋" w:hAnsi="仿宋" w:eastAsia="仿宋" w:cs="仿宋"/>
          <w:sz w:val="32"/>
          <w:szCs w:val="32"/>
          <w:lang w:val="en-US"/>
        </w:rPr>
        <w:t>5</w:t>
      </w:r>
      <w:r>
        <w:rPr>
          <w:rFonts w:hint="eastAsia" w:ascii="仿宋" w:hAnsi="仿宋" w:eastAsia="仿宋" w:cs="仿宋"/>
          <w:sz w:val="32"/>
          <w:szCs w:val="32"/>
        </w:rPr>
        <w:t>0万元。2018年度结转结余23.</w:t>
      </w:r>
      <w:r>
        <w:rPr>
          <w:rFonts w:hint="default" w:ascii="仿宋" w:hAnsi="仿宋" w:eastAsia="仿宋" w:cs="仿宋"/>
          <w:sz w:val="32"/>
          <w:szCs w:val="32"/>
          <w:lang w:val="en-US"/>
        </w:rPr>
        <w:t>50</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四、2018年度一般公共预算财政拨款支出情况说明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(一)财政拨款支出决算总体情况。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2018年度财政拨款支出715.50万元,其中:基本支出715.50万元,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(二)财政拨款支出决算具体情况。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2018年度财政拨款支出715.5万元。其中:达果乡机关工资福利支出645.6</w:t>
      </w:r>
      <w:r>
        <w:rPr>
          <w:rFonts w:hint="default" w:ascii="仿宋" w:hAnsi="仿宋" w:eastAsia="仿宋" w:cs="仿宋"/>
          <w:sz w:val="32"/>
          <w:szCs w:val="32"/>
          <w:lang w:val="en-US"/>
        </w:rPr>
        <w:t>7</w:t>
      </w:r>
      <w:r>
        <w:rPr>
          <w:rFonts w:hint="eastAsia" w:ascii="仿宋" w:hAnsi="仿宋" w:eastAsia="仿宋" w:cs="仿宋"/>
          <w:sz w:val="32"/>
          <w:szCs w:val="32"/>
        </w:rPr>
        <w:t>万元；达果乡机关商品和服务支出69.8</w:t>
      </w:r>
      <w:r>
        <w:rPr>
          <w:rFonts w:hint="default" w:ascii="仿宋" w:hAnsi="仿宋" w:eastAsia="仿宋" w:cs="仿宋"/>
          <w:sz w:val="32"/>
          <w:szCs w:val="32"/>
          <w:lang w:val="en-US"/>
        </w:rPr>
        <w:t>4</w:t>
      </w:r>
      <w:r>
        <w:rPr>
          <w:rFonts w:hint="eastAsia" w:ascii="仿宋" w:hAnsi="仿宋" w:eastAsia="仿宋" w:cs="仿宋"/>
          <w:sz w:val="32"/>
          <w:szCs w:val="32"/>
        </w:rPr>
        <w:t>万元；</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五、2018年度“三公”及相关经费预决算情况说明</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尼玛县达果乡2018年“三公”及相关经费情况表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单位:万元</w:t>
      </w:r>
    </w:p>
    <w:tbl>
      <w:tblPr>
        <w:tblStyle w:val="6"/>
        <w:tblW w:w="9300" w:type="dxa"/>
        <w:jc w:val="center"/>
        <w:tblCellSpacing w:w="0" w:type="dxa"/>
        <w:tblInd w:w="15" w:type="dxa"/>
        <w:tblLayout w:type="fixed"/>
        <w:tblCellMar>
          <w:top w:w="15" w:type="dxa"/>
          <w:left w:w="15" w:type="dxa"/>
          <w:bottom w:w="15" w:type="dxa"/>
          <w:right w:w="15" w:type="dxa"/>
        </w:tblCellMar>
      </w:tblPr>
      <w:tblGrid>
        <w:gridCol w:w="4308"/>
        <w:gridCol w:w="1858"/>
        <w:gridCol w:w="1986"/>
        <w:gridCol w:w="1148"/>
      </w:tblGrid>
      <w:tr>
        <w:tblPrEx>
          <w:tblLayout w:type="fixed"/>
          <w:tblCellMar>
            <w:top w:w="15" w:type="dxa"/>
            <w:left w:w="15" w:type="dxa"/>
            <w:bottom w:w="15" w:type="dxa"/>
            <w:right w:w="15" w:type="dxa"/>
          </w:tblCellMar>
        </w:tblPrEx>
        <w:trPr>
          <w:trHeight w:val="73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项  目</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预算数</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决算数</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备  注</w:t>
            </w:r>
          </w:p>
        </w:tc>
      </w:tr>
      <w:tr>
        <w:tblPrEx>
          <w:tblLayout w:type="fixed"/>
          <w:tblCellMar>
            <w:top w:w="15" w:type="dxa"/>
            <w:left w:w="15" w:type="dxa"/>
            <w:bottom w:w="15" w:type="dxa"/>
            <w:right w:w="15" w:type="dxa"/>
          </w:tblCellMar>
        </w:tblPrEx>
        <w:trPr>
          <w:trHeight w:val="69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合  计</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rPr>
            </w:pPr>
            <w:r>
              <w:rPr>
                <w:rFonts w:hint="default" w:ascii="仿宋" w:hAnsi="仿宋" w:eastAsia="仿宋" w:cs="仿宋"/>
                <w:sz w:val="32"/>
                <w:szCs w:val="32"/>
                <w:lang w:val="en-US"/>
              </w:rPr>
              <w:t>22</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r>
              <w:rPr>
                <w:rFonts w:hint="eastAsia" w:ascii="仿宋" w:hAnsi="仿宋" w:eastAsia="仿宋" w:cs="仿宋"/>
                <w:sz w:val="32"/>
                <w:szCs w:val="32"/>
              </w:rPr>
              <w:t>21.74</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1.因公出国(境)费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 w:hAnsi="仿宋" w:eastAsia="仿宋" w:cs="仿宋"/>
                <w:sz w:val="32"/>
                <w:szCs w:val="32"/>
              </w:rPr>
            </w:pP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58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2.公务接待费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3.公务用车经费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rPr>
            </w:pPr>
            <w:r>
              <w:rPr>
                <w:rFonts w:hint="default" w:ascii="仿宋" w:hAnsi="仿宋" w:eastAsia="仿宋" w:cs="仿宋"/>
                <w:sz w:val="32"/>
                <w:szCs w:val="32"/>
                <w:lang w:val="en-US"/>
              </w:rPr>
              <w:t>22</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r>
              <w:rPr>
                <w:rFonts w:hint="eastAsia" w:ascii="仿宋" w:hAnsi="仿宋" w:eastAsia="仿宋" w:cs="仿宋"/>
                <w:sz w:val="32"/>
                <w:szCs w:val="32"/>
              </w:rPr>
              <w:t>21.74</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其中:(1)公务用车运行维护费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rPr>
            </w:pPr>
            <w:r>
              <w:rPr>
                <w:rFonts w:hint="default" w:ascii="仿宋" w:hAnsi="仿宋" w:eastAsia="仿宋" w:cs="仿宋"/>
                <w:sz w:val="32"/>
                <w:szCs w:val="32"/>
                <w:lang w:val="en-US"/>
              </w:rPr>
              <w:t>22</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r>
              <w:rPr>
                <w:rFonts w:hint="eastAsia" w:ascii="仿宋" w:hAnsi="仿宋" w:eastAsia="仿宋" w:cs="仿宋"/>
                <w:sz w:val="32"/>
                <w:szCs w:val="32"/>
              </w:rPr>
              <w:t>21.74</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     (2)公务用车购置费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 w:hAnsi="仿宋" w:eastAsia="仿宋" w:cs="仿宋"/>
                <w:sz w:val="32"/>
                <w:szCs w:val="32"/>
              </w:rPr>
            </w:pPr>
            <w:r>
              <w:rPr>
                <w:rFonts w:hint="eastAsia" w:ascii="仿宋" w:hAnsi="仿宋" w:eastAsia="仿宋" w:cs="仿宋"/>
                <w:kern w:val="0"/>
                <w:sz w:val="32"/>
                <w:szCs w:val="32"/>
                <w:lang w:bidi="ar"/>
              </w:rPr>
              <w:t>0</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r>
              <w:rPr>
                <w:rFonts w:hint="eastAsia" w:ascii="仿宋" w:hAnsi="仿宋" w:eastAsia="仿宋" w:cs="仿宋"/>
                <w:sz w:val="32"/>
                <w:szCs w:val="32"/>
                <w:lang w:bidi="ar"/>
              </w:rPr>
              <w:t>0</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bl>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2018年度“三公”经费支出21.74万元,具体如下:</w:t>
      </w:r>
    </w:p>
    <w:p>
      <w:pPr>
        <w:pStyle w:val="5"/>
        <w:widowControl/>
        <w:spacing w:before="226" w:after="226" w:line="420" w:lineRule="atLeast"/>
        <w:ind w:left="420" w:firstLine="640" w:firstLineChars="200"/>
        <w:jc w:val="both"/>
        <w:rPr>
          <w:rFonts w:ascii="仿宋" w:hAnsi="仿宋" w:eastAsia="仿宋" w:cs="仿宋"/>
          <w:sz w:val="32"/>
          <w:szCs w:val="32"/>
        </w:rPr>
      </w:pPr>
      <w:r>
        <w:rPr>
          <w:rFonts w:hint="eastAsia" w:ascii="仿宋" w:hAnsi="仿宋" w:eastAsia="仿宋" w:cs="仿宋"/>
          <w:sz w:val="32"/>
          <w:szCs w:val="32"/>
        </w:rPr>
        <w:t>1.因公出国(境)费0万元。2.公务接待费0万元。3.公务用车经费21.74万元，均为公务用车运行支出,主要用于因公出行、下村各项工作检查、送县上出差人员所需的车辆燃料费、维修费、保险费等支出。</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六、2018年度机关运行情况说明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(一)2018年度尼玛县达果乡机关工资福利支出645.6</w:t>
      </w:r>
      <w:r>
        <w:rPr>
          <w:rFonts w:hint="default" w:ascii="仿宋" w:hAnsi="仿宋" w:eastAsia="仿宋" w:cs="仿宋"/>
          <w:sz w:val="32"/>
          <w:szCs w:val="32"/>
          <w:lang w:val="en-US"/>
        </w:rPr>
        <w:t>7</w:t>
      </w:r>
      <w:r>
        <w:rPr>
          <w:rFonts w:hint="eastAsia" w:ascii="仿宋" w:hAnsi="仿宋" w:eastAsia="仿宋" w:cs="仿宋"/>
          <w:sz w:val="32"/>
          <w:szCs w:val="32"/>
        </w:rPr>
        <w:t>万元；达果乡机关商品和服务支出69.8</w:t>
      </w:r>
      <w:r>
        <w:rPr>
          <w:rFonts w:hint="default" w:ascii="仿宋" w:hAnsi="仿宋" w:eastAsia="仿宋" w:cs="仿宋"/>
          <w:sz w:val="32"/>
          <w:szCs w:val="32"/>
          <w:lang w:val="en-US"/>
        </w:rPr>
        <w:t>4</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(二)机关运行经费预算的内容。</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2018年度尼玛县达果乡机关运行经费支出715.50万元。其中:达果乡机关工资福利支出645.6</w:t>
      </w:r>
      <w:r>
        <w:rPr>
          <w:rFonts w:hint="default" w:ascii="仿宋" w:hAnsi="仿宋" w:eastAsia="仿宋" w:cs="仿宋"/>
          <w:sz w:val="32"/>
          <w:szCs w:val="32"/>
          <w:lang w:val="en-US"/>
        </w:rPr>
        <w:t>7</w:t>
      </w:r>
      <w:r>
        <w:rPr>
          <w:rFonts w:hint="eastAsia" w:ascii="仿宋" w:hAnsi="仿宋" w:eastAsia="仿宋" w:cs="仿宋"/>
          <w:sz w:val="32"/>
          <w:szCs w:val="32"/>
        </w:rPr>
        <w:t>万元,主要包括基本工资、津贴补贴、奖金、伙食补助费、其他社会保障缴费、机关事业单位基本养老保险缴费、生活补助、医疗费、住房补贴、住房公积金、其他工资福利支出、其他对个人和家庭的补助支出等;达果乡机关商品和服务支出69.8</w:t>
      </w:r>
      <w:r>
        <w:rPr>
          <w:rFonts w:hint="default" w:ascii="仿宋" w:hAnsi="仿宋" w:eastAsia="仿宋" w:cs="仿宋"/>
          <w:sz w:val="32"/>
          <w:szCs w:val="32"/>
          <w:lang w:val="en-US"/>
        </w:rPr>
        <w:t>4</w:t>
      </w:r>
      <w:r>
        <w:rPr>
          <w:rFonts w:hint="eastAsia" w:ascii="仿宋" w:hAnsi="仿宋" w:eastAsia="仿宋" w:cs="仿宋"/>
          <w:sz w:val="32"/>
          <w:szCs w:val="32"/>
        </w:rPr>
        <w:t>万元,主要包括办公费、印刷费、水费、电费、邮电费、取暖费、差旅费、维修(护)费、会议费、培训费、公务接待费、工会经费、福利费、公务用车运行维护费、其他交通费、其他商品和服务支出等,包括财务软件维护费。</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七、政府采购情况说明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尼玛县达果乡2018年度未安排专项政府采购预算。</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八、国有资产占有使用情况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截至2018年12月31日，国有资产总值37</w:t>
      </w:r>
      <w:r>
        <w:rPr>
          <w:rFonts w:hint="default" w:ascii="仿宋" w:hAnsi="仿宋" w:eastAsia="仿宋" w:cs="仿宋"/>
          <w:sz w:val="32"/>
          <w:szCs w:val="32"/>
          <w:lang w:val="en-US"/>
        </w:rPr>
        <w:t>94</w:t>
      </w:r>
      <w:r>
        <w:rPr>
          <w:rFonts w:hint="eastAsia" w:ascii="仿宋" w:hAnsi="仿宋" w:eastAsia="仿宋" w:cs="仿宋"/>
          <w:sz w:val="32"/>
          <w:szCs w:val="32"/>
        </w:rPr>
        <w:t>.</w:t>
      </w:r>
      <w:r>
        <w:rPr>
          <w:rFonts w:hint="default" w:ascii="仿宋" w:hAnsi="仿宋" w:eastAsia="仿宋" w:cs="仿宋"/>
          <w:sz w:val="32"/>
          <w:szCs w:val="32"/>
          <w:lang w:val="en-US"/>
        </w:rPr>
        <w:t>36</w:t>
      </w:r>
      <w:r>
        <w:rPr>
          <w:rFonts w:hint="eastAsia" w:ascii="仿宋" w:hAnsi="仿宋" w:eastAsia="仿宋" w:cs="仿宋"/>
          <w:sz w:val="32"/>
          <w:szCs w:val="32"/>
        </w:rPr>
        <w:t>万元，其中：流动资产</w:t>
      </w:r>
      <w:r>
        <w:rPr>
          <w:rFonts w:hint="default" w:ascii="仿宋" w:hAnsi="仿宋" w:eastAsia="仿宋" w:cs="仿宋"/>
          <w:sz w:val="32"/>
          <w:szCs w:val="32"/>
          <w:lang w:val="en-US"/>
        </w:rPr>
        <w:t>23.50</w:t>
      </w:r>
      <w:r>
        <w:rPr>
          <w:rFonts w:hint="eastAsia" w:ascii="仿宋" w:hAnsi="仿宋" w:eastAsia="仿宋" w:cs="仿宋"/>
          <w:sz w:val="32"/>
          <w:szCs w:val="32"/>
        </w:rPr>
        <w:t>万元，固定资产3</w:t>
      </w:r>
      <w:r>
        <w:rPr>
          <w:rFonts w:hint="default" w:ascii="仿宋" w:hAnsi="仿宋" w:eastAsia="仿宋" w:cs="仿宋"/>
          <w:sz w:val="32"/>
          <w:szCs w:val="32"/>
          <w:lang w:val="en-US"/>
        </w:rPr>
        <w:t>770.86</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固定资产中：房屋</w:t>
      </w:r>
      <w:r>
        <w:rPr>
          <w:rFonts w:hint="default" w:ascii="仿宋" w:hAnsi="仿宋" w:eastAsia="仿宋" w:cs="仿宋"/>
          <w:sz w:val="32"/>
          <w:szCs w:val="32"/>
          <w:lang w:val="en-US"/>
        </w:rPr>
        <w:t>6797.20</w:t>
      </w:r>
      <w:r>
        <w:rPr>
          <w:rFonts w:hint="eastAsia" w:ascii="仿宋" w:hAnsi="仿宋" w:eastAsia="仿宋" w:cs="仿宋"/>
          <w:sz w:val="32"/>
          <w:szCs w:val="32"/>
        </w:rPr>
        <w:t>平方米，账面价值3390.4</w:t>
      </w:r>
      <w:r>
        <w:rPr>
          <w:rFonts w:hint="default" w:ascii="仿宋" w:hAnsi="仿宋" w:eastAsia="仿宋" w:cs="仿宋"/>
          <w:sz w:val="32"/>
          <w:szCs w:val="32"/>
          <w:lang w:val="en-US"/>
        </w:rPr>
        <w:t>7</w:t>
      </w:r>
      <w:r>
        <w:rPr>
          <w:rFonts w:hint="eastAsia" w:ascii="仿宋" w:hAnsi="仿宋" w:eastAsia="仿宋" w:cs="仿宋"/>
          <w:sz w:val="32"/>
          <w:szCs w:val="32"/>
        </w:rPr>
        <w:t>万元；车辆</w:t>
      </w:r>
      <w:r>
        <w:rPr>
          <w:rFonts w:hint="default" w:ascii="仿宋" w:hAnsi="仿宋" w:eastAsia="仿宋" w:cs="仿宋"/>
          <w:sz w:val="32"/>
          <w:szCs w:val="32"/>
          <w:lang w:val="en-US"/>
        </w:rPr>
        <w:t>10</w:t>
      </w:r>
      <w:r>
        <w:rPr>
          <w:rFonts w:hint="eastAsia" w:ascii="仿宋" w:hAnsi="仿宋" w:eastAsia="仿宋" w:cs="仿宋"/>
          <w:sz w:val="32"/>
          <w:szCs w:val="32"/>
        </w:rPr>
        <w:t>辆，账面价值</w:t>
      </w:r>
      <w:r>
        <w:rPr>
          <w:rFonts w:hint="default" w:ascii="仿宋" w:hAnsi="仿宋" w:eastAsia="仿宋" w:cs="仿宋"/>
          <w:sz w:val="32"/>
          <w:szCs w:val="32"/>
          <w:lang w:val="en-US"/>
        </w:rPr>
        <w:t>162.06</w:t>
      </w:r>
      <w:r>
        <w:rPr>
          <w:rFonts w:hint="eastAsia" w:ascii="仿宋" w:hAnsi="仿宋" w:eastAsia="仿宋" w:cs="仿宋"/>
          <w:sz w:val="32"/>
          <w:szCs w:val="32"/>
        </w:rPr>
        <w:t>万元；其他资产</w:t>
      </w:r>
      <w:r>
        <w:rPr>
          <w:rFonts w:hint="default" w:ascii="仿宋" w:hAnsi="仿宋" w:eastAsia="仿宋" w:cs="仿宋"/>
          <w:sz w:val="32"/>
          <w:szCs w:val="32"/>
          <w:lang w:val="en-US"/>
        </w:rPr>
        <w:t>218.3</w:t>
      </w:r>
      <w:bookmarkStart w:id="1" w:name="_GoBack"/>
      <w:bookmarkEnd w:id="1"/>
      <w:r>
        <w:rPr>
          <w:rFonts w:hint="default" w:ascii="仿宋" w:hAnsi="仿宋" w:eastAsia="仿宋" w:cs="仿宋"/>
          <w:sz w:val="32"/>
          <w:szCs w:val="32"/>
          <w:lang w:val="en-US"/>
        </w:rPr>
        <w:t>3</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九、预算绩效情况说明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尼玛县达果乡2018年未实行预算绩效。</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十、其他重要事项说明</w:t>
      </w:r>
    </w:p>
    <w:p>
      <w:pPr>
        <w:pStyle w:val="5"/>
        <w:widowControl/>
        <w:spacing w:before="225" w:after="300" w:line="450" w:lineRule="atLeast"/>
        <w:ind w:left="525"/>
        <w:rPr>
          <w:rFonts w:ascii="仿宋" w:hAnsi="仿宋" w:eastAsia="仿宋" w:cs="仿宋"/>
          <w:sz w:val="32"/>
          <w:szCs w:val="32"/>
        </w:rPr>
      </w:pPr>
      <w:r>
        <w:rPr>
          <w:rFonts w:hint="eastAsia" w:ascii="仿宋" w:hAnsi="仿宋" w:eastAsia="仿宋" w:cs="仿宋"/>
          <w:sz w:val="32"/>
          <w:szCs w:val="32"/>
        </w:rPr>
        <w:t>2018年度尼玛县达果乡没有安排政府性基金预算支出，不存在政府性债务。</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第四部分 名词解释</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一、财政拨款收入,指上级财政当年拨付的资金。</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二、其他收入,指上述“财政拨款收入”。</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三、财政事务:指财政事务方面的支出有、关具体事务包括行政管理、机关服务、预算改革业务、财政国库业务、财务监督、信息化建设、政府委托业务等。</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四、行政运行支出:指行政单位(包括实行公务员管理的事业单位)的基本支出。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五、一般行政管理事务:反映行政单位(包括实行公务员管理的事业单位)未单独设置项级科目的其他项目支出。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六、年末结转和结余:指以前年度预算支出未完成,按照有关规定结转到当年或以后年度继续使用的资金。</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七、基本支出:指为保障机构正常运转、完成日常工作任务而发生的人员支出和共用支出。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八、项目支出:指在基本支出之外为了完成特定的行政任务和事业目标所发生的支出。</w:t>
      </w: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0000000000000000000"/>
    <w:charset w:val="00"/>
    <w:family w:val="roman"/>
    <w:pitch w:val="default"/>
    <w:sig w:usb0="00000000" w:usb1="00000000" w:usb2="0A246029" w:usb3="0400200C" w:csb0="600001FF" w:csb1="DFFF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w:t>
                          </w:r>
                          <w:r>
                            <w:rPr>
                              <w:rFonts w:hint="eastAsia"/>
                            </w:rP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IMK&#10;SbUBAABWAwAADgAAAAAAAAABACAAAAAeAQAAZHJzL2Uyb0RvYy54bWxQSwUGAAAAAAYABgBZAQAA&#10;RQUAAAAA&#10;">
              <v:fill on="f" focussize="0,0"/>
              <v:stroke on="f"/>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E9"/>
    <w:rsid w:val="001D10C9"/>
    <w:rsid w:val="006D00C2"/>
    <w:rsid w:val="00874840"/>
    <w:rsid w:val="00A12E4F"/>
    <w:rsid w:val="00D35EA5"/>
    <w:rsid w:val="00D55CE9"/>
    <w:rsid w:val="01E93310"/>
    <w:rsid w:val="02A21B7E"/>
    <w:rsid w:val="038D2976"/>
    <w:rsid w:val="040707FF"/>
    <w:rsid w:val="048F4687"/>
    <w:rsid w:val="04EF580D"/>
    <w:rsid w:val="05ED3234"/>
    <w:rsid w:val="06BD1A95"/>
    <w:rsid w:val="072B2356"/>
    <w:rsid w:val="09325D9F"/>
    <w:rsid w:val="0A5338D8"/>
    <w:rsid w:val="0A965609"/>
    <w:rsid w:val="0CFF7781"/>
    <w:rsid w:val="0F543F4C"/>
    <w:rsid w:val="0F6433DF"/>
    <w:rsid w:val="0FBF75B4"/>
    <w:rsid w:val="10802AE0"/>
    <w:rsid w:val="12A45760"/>
    <w:rsid w:val="136E6755"/>
    <w:rsid w:val="17D40899"/>
    <w:rsid w:val="19794DB9"/>
    <w:rsid w:val="1BA12187"/>
    <w:rsid w:val="1BA83235"/>
    <w:rsid w:val="1BE3117B"/>
    <w:rsid w:val="1C265172"/>
    <w:rsid w:val="1C756EF1"/>
    <w:rsid w:val="1D4F0EDD"/>
    <w:rsid w:val="1DD96F23"/>
    <w:rsid w:val="1E555F7D"/>
    <w:rsid w:val="1EB355C0"/>
    <w:rsid w:val="1EC6335C"/>
    <w:rsid w:val="1F8A7126"/>
    <w:rsid w:val="1FC65626"/>
    <w:rsid w:val="21034D26"/>
    <w:rsid w:val="23475DB7"/>
    <w:rsid w:val="24AF5F8E"/>
    <w:rsid w:val="258905AE"/>
    <w:rsid w:val="25A537EA"/>
    <w:rsid w:val="25AA0342"/>
    <w:rsid w:val="25AB58C9"/>
    <w:rsid w:val="26AC4AFC"/>
    <w:rsid w:val="270D601D"/>
    <w:rsid w:val="29DA10BF"/>
    <w:rsid w:val="2BBF2EB8"/>
    <w:rsid w:val="2C4E3BEE"/>
    <w:rsid w:val="2E26444C"/>
    <w:rsid w:val="2F5B8690"/>
    <w:rsid w:val="2FE11773"/>
    <w:rsid w:val="320931DC"/>
    <w:rsid w:val="33B73A15"/>
    <w:rsid w:val="33C978CA"/>
    <w:rsid w:val="34EC1894"/>
    <w:rsid w:val="35BE3F96"/>
    <w:rsid w:val="367270C9"/>
    <w:rsid w:val="37C8216E"/>
    <w:rsid w:val="38890144"/>
    <w:rsid w:val="38A249BF"/>
    <w:rsid w:val="3B341AAE"/>
    <w:rsid w:val="3B7B4D1D"/>
    <w:rsid w:val="3B8D3425"/>
    <w:rsid w:val="3C667CF2"/>
    <w:rsid w:val="3C8F404A"/>
    <w:rsid w:val="3D0C5A1B"/>
    <w:rsid w:val="3D5B621F"/>
    <w:rsid w:val="3D6D70F1"/>
    <w:rsid w:val="3F5956C0"/>
    <w:rsid w:val="3F9CC0A1"/>
    <w:rsid w:val="3F9F020B"/>
    <w:rsid w:val="3FA15C3C"/>
    <w:rsid w:val="3FA41FDE"/>
    <w:rsid w:val="40003D79"/>
    <w:rsid w:val="401A4A62"/>
    <w:rsid w:val="417E6D53"/>
    <w:rsid w:val="42016CC0"/>
    <w:rsid w:val="4344474A"/>
    <w:rsid w:val="47D178E4"/>
    <w:rsid w:val="48A55263"/>
    <w:rsid w:val="4A3D18FA"/>
    <w:rsid w:val="4A93043B"/>
    <w:rsid w:val="4B5851BA"/>
    <w:rsid w:val="4CA324B3"/>
    <w:rsid w:val="4DF76132"/>
    <w:rsid w:val="4E243AAA"/>
    <w:rsid w:val="4F191088"/>
    <w:rsid w:val="4FF2B0EF"/>
    <w:rsid w:val="52216BB7"/>
    <w:rsid w:val="52CC257C"/>
    <w:rsid w:val="55F348D1"/>
    <w:rsid w:val="565C0B06"/>
    <w:rsid w:val="56DB2223"/>
    <w:rsid w:val="57BF421D"/>
    <w:rsid w:val="58495477"/>
    <w:rsid w:val="5BC02D93"/>
    <w:rsid w:val="5BC54F9A"/>
    <w:rsid w:val="5BE7631C"/>
    <w:rsid w:val="5BF0436B"/>
    <w:rsid w:val="5BFD9A49"/>
    <w:rsid w:val="5C4F4FA3"/>
    <w:rsid w:val="5DC25864"/>
    <w:rsid w:val="5FC9458A"/>
    <w:rsid w:val="5FF9D311"/>
    <w:rsid w:val="609F64FD"/>
    <w:rsid w:val="60B276E4"/>
    <w:rsid w:val="62321289"/>
    <w:rsid w:val="68177B62"/>
    <w:rsid w:val="68297E84"/>
    <w:rsid w:val="692C589F"/>
    <w:rsid w:val="69491DCE"/>
    <w:rsid w:val="6AEE90F0"/>
    <w:rsid w:val="6AFD10C4"/>
    <w:rsid w:val="6B153ADE"/>
    <w:rsid w:val="6D6FD3AD"/>
    <w:rsid w:val="6E4E5F59"/>
    <w:rsid w:val="6EDE20F2"/>
    <w:rsid w:val="6F3D70BE"/>
    <w:rsid w:val="70281428"/>
    <w:rsid w:val="70EB47B2"/>
    <w:rsid w:val="71EB0DAC"/>
    <w:rsid w:val="74761740"/>
    <w:rsid w:val="74BC65A2"/>
    <w:rsid w:val="75780447"/>
    <w:rsid w:val="75BD25A4"/>
    <w:rsid w:val="7657D170"/>
    <w:rsid w:val="76D35119"/>
    <w:rsid w:val="77065812"/>
    <w:rsid w:val="77593D6E"/>
    <w:rsid w:val="775FB7D4"/>
    <w:rsid w:val="777B51E7"/>
    <w:rsid w:val="77807A78"/>
    <w:rsid w:val="77CB5A11"/>
    <w:rsid w:val="77EA1568"/>
    <w:rsid w:val="77F4168E"/>
    <w:rsid w:val="79276246"/>
    <w:rsid w:val="795A096F"/>
    <w:rsid w:val="796A2134"/>
    <w:rsid w:val="7A6A504D"/>
    <w:rsid w:val="7A7F8055"/>
    <w:rsid w:val="7AC47794"/>
    <w:rsid w:val="7B655D93"/>
    <w:rsid w:val="7BFD87CB"/>
    <w:rsid w:val="7C371DD4"/>
    <w:rsid w:val="7C8F2B03"/>
    <w:rsid w:val="7DD619C4"/>
    <w:rsid w:val="7EA3DF9D"/>
    <w:rsid w:val="7EA82548"/>
    <w:rsid w:val="7EF6D6DC"/>
    <w:rsid w:val="7F7B03E2"/>
    <w:rsid w:val="7FDCC069"/>
    <w:rsid w:val="7FDF0FAE"/>
    <w:rsid w:val="7FEEF853"/>
    <w:rsid w:val="9B792FA0"/>
    <w:rsid w:val="ABE66B93"/>
    <w:rsid w:val="AE7DC225"/>
    <w:rsid w:val="AF9E2D9C"/>
    <w:rsid w:val="AFFE581D"/>
    <w:rsid w:val="AFFF7079"/>
    <w:rsid w:val="B36C4202"/>
    <w:rsid w:val="B85F653C"/>
    <w:rsid w:val="BB763DBB"/>
    <w:rsid w:val="BDBD9B85"/>
    <w:rsid w:val="BF5BE48C"/>
    <w:rsid w:val="BFFDE6B8"/>
    <w:rsid w:val="DAFC27A4"/>
    <w:rsid w:val="DD9EBAFC"/>
    <w:rsid w:val="DDFF204B"/>
    <w:rsid w:val="E7E536AE"/>
    <w:rsid w:val="EF7E9AE4"/>
    <w:rsid w:val="EFECE27A"/>
    <w:rsid w:val="EFFF1B87"/>
    <w:rsid w:val="F5DFEE76"/>
    <w:rsid w:val="FAADD43B"/>
    <w:rsid w:val="FBF4D891"/>
    <w:rsid w:val="FBFFFA53"/>
    <w:rsid w:val="FCAC3910"/>
    <w:rsid w:val="FD7ED141"/>
    <w:rsid w:val="FD9B2523"/>
    <w:rsid w:val="FE6C1F37"/>
    <w:rsid w:val="FE7FAA27"/>
    <w:rsid w:val="FFBA754A"/>
    <w:rsid w:val="FFCB6E0A"/>
    <w:rsid w:val="FFD35222"/>
    <w:rsid w:val="FFEB1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5">
    <w:name w:val="Normal (Web)"/>
    <w:basedOn w:val="1"/>
    <w:qFormat/>
    <w:uiPriority w:val="0"/>
    <w:pPr>
      <w:jc w:val="left"/>
    </w:pPr>
    <w:rPr>
      <w:kern w:val="0"/>
      <w:sz w:val="24"/>
    </w:r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character" w:customStyle="1" w:styleId="10">
    <w:name w:val="index"/>
    <w:basedOn w:val="7"/>
    <w:qFormat/>
    <w:uiPriority w:val="0"/>
  </w:style>
  <w:style w:type="character" w:customStyle="1" w:styleId="11">
    <w:name w:val="cur"/>
    <w:basedOn w:val="7"/>
    <w:qFormat/>
    <w:uiPriority w:val="0"/>
    <w:rPr>
      <w:b/>
      <w:color w:val="B21112"/>
      <w:bdr w:val="single" w:color="E4EAF2" w:sz="6" w:space="0"/>
      <w:shd w:val="clear" w:color="auto" w:fill="FFFFFF"/>
    </w:rPr>
  </w:style>
  <w:style w:type="character" w:customStyle="1" w:styleId="12">
    <w:name w:val="wher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498</Words>
  <Characters>2845</Characters>
  <Lines>23</Lines>
  <Paragraphs>6</Paragraphs>
  <TotalTime>23</TotalTime>
  <ScaleCrop>false</ScaleCrop>
  <LinksUpToDate>false</LinksUpToDate>
  <CharactersWithSpaces>3337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Administrator</cp:lastModifiedBy>
  <cp:lastPrinted>2019-05-08T12:08:00Z</cp:lastPrinted>
  <dcterms:modified xsi:type="dcterms:W3CDTF">2019-08-29T09:35:23Z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