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numPr>
          <w:ilvl w:val="0"/>
          <w:numId w:val="0"/>
        </w:numPr>
        <w:spacing w:before="225" w:beforeAutospacing="0" w:after="300" w:afterAutospacing="0" w:line="450" w:lineRule="atLeast"/>
        <w:ind w:leftChars="0" w:right="-512" w:rightChars="-244"/>
        <w:jc w:val="center"/>
        <w:rPr>
          <w:rFonts w:ascii="微软雅黑" w:hAnsi="微软雅黑" w:eastAsia="微软雅黑"/>
          <w:sz w:val="32"/>
          <w:szCs w:val="32"/>
        </w:rPr>
      </w:pPr>
      <w:r>
        <w:rPr>
          <w:rStyle w:val="7"/>
          <w:rFonts w:hint="eastAsia" w:ascii="微软雅黑" w:hAnsi="微软雅黑" w:eastAsia="微软雅黑" w:cs="微软雅黑"/>
          <w:color w:val="000000"/>
          <w:sz w:val="32"/>
          <w:szCs w:val="32"/>
        </w:rPr>
        <w:t>尼玛县</w:t>
      </w:r>
      <w:r>
        <w:rPr>
          <w:rStyle w:val="7"/>
          <w:rFonts w:hint="eastAsia" w:ascii="微软雅黑" w:hAnsi="微软雅黑" w:eastAsia="微软雅黑" w:cs="微软雅黑"/>
          <w:color w:val="000000"/>
          <w:sz w:val="32"/>
          <w:szCs w:val="32"/>
          <w:lang w:eastAsia="zh-CN"/>
        </w:rPr>
        <w:t>卓尼乡</w:t>
      </w:r>
      <w:r>
        <w:rPr>
          <w:rFonts w:ascii="微软雅黑" w:hAnsi="微软雅黑" w:eastAsia="微软雅黑"/>
          <w:b/>
          <w:bCs/>
          <w:sz w:val="32"/>
          <w:szCs w:val="32"/>
        </w:rPr>
        <w:t>2018年度部门决算公开</w:t>
      </w:r>
    </w:p>
    <w:p>
      <w:pPr>
        <w:pStyle w:val="4"/>
        <w:widowControl/>
        <w:spacing w:beforeAutospacing="0" w:afterAutospacing="0" w:line="360" w:lineRule="auto"/>
        <w:ind w:firstLine="527"/>
        <w:jc w:val="center"/>
        <w:rPr>
          <w:rFonts w:ascii="微软雅黑" w:hAnsi="微软雅黑" w:eastAsia="微软雅黑" w:cs="微软雅黑"/>
          <w:color w:val="000000"/>
          <w:sz w:val="30"/>
          <w:szCs w:val="30"/>
        </w:rPr>
      </w:pPr>
      <w:r>
        <w:rPr>
          <w:rStyle w:val="7"/>
          <w:rFonts w:hint="eastAsia" w:ascii="微软雅黑" w:hAnsi="微软雅黑" w:eastAsia="微软雅黑" w:cs="微软雅黑"/>
          <w:color w:val="000000"/>
          <w:sz w:val="30"/>
          <w:szCs w:val="30"/>
        </w:rPr>
        <w:t>目录</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第一部分 尼玛县</w:t>
      </w:r>
      <w:r>
        <w:rPr>
          <w:rFonts w:hint="eastAsia" w:ascii="微软雅黑" w:hAnsi="微软雅黑" w:eastAsia="微软雅黑" w:cs="微软雅黑"/>
          <w:color w:val="000000"/>
          <w:sz w:val="25"/>
          <w:szCs w:val="25"/>
          <w:lang w:eastAsia="zh-CN"/>
        </w:rPr>
        <w:t>卓尼乡</w:t>
      </w:r>
      <w:r>
        <w:rPr>
          <w:rFonts w:hint="eastAsia" w:ascii="微软雅黑" w:hAnsi="微软雅黑" w:eastAsia="微软雅黑" w:cs="微软雅黑"/>
          <w:color w:val="000000"/>
          <w:sz w:val="25"/>
          <w:szCs w:val="25"/>
        </w:rPr>
        <w:t>概况</w:t>
      </w:r>
    </w:p>
    <w:p>
      <w:pPr>
        <w:pStyle w:val="4"/>
        <w:widowControl/>
        <w:spacing w:before="226" w:after="226" w:line="420" w:lineRule="atLeast"/>
        <w:ind w:firstLine="420"/>
        <w:jc w:val="both"/>
      </w:pPr>
      <w:r>
        <w:rPr>
          <w:rFonts w:hint="eastAsia" w:ascii="宋体" w:hAnsi="宋体" w:cs="宋体"/>
        </w:rPr>
        <w:t>一、部门决算单位构成</w:t>
      </w:r>
    </w:p>
    <w:p>
      <w:pPr>
        <w:pStyle w:val="4"/>
        <w:widowControl/>
        <w:spacing w:before="226" w:after="226" w:line="420" w:lineRule="atLeast"/>
        <w:ind w:firstLine="420"/>
        <w:jc w:val="both"/>
      </w:pPr>
      <w:r>
        <w:rPr>
          <w:rFonts w:hint="eastAsia" w:ascii="宋体" w:hAnsi="宋体" w:cs="宋体"/>
        </w:rPr>
        <w:t>二、部门职责和机构设置</w:t>
      </w:r>
    </w:p>
    <w:p>
      <w:pPr>
        <w:pStyle w:val="4"/>
        <w:widowControl/>
        <w:spacing w:before="226" w:after="226" w:line="420" w:lineRule="atLeast"/>
        <w:ind w:firstLine="420"/>
        <w:jc w:val="both"/>
        <w:rPr>
          <w:rFonts w:ascii="微软雅黑" w:hAnsi="微软雅黑" w:eastAsia="微软雅黑"/>
          <w:sz w:val="25"/>
          <w:szCs w:val="25"/>
        </w:rPr>
      </w:pPr>
      <w:r>
        <w:rPr>
          <w:rFonts w:hint="eastAsia" w:ascii="微软雅黑" w:hAnsi="微软雅黑" w:eastAsia="微软雅黑" w:cs="微软雅黑"/>
          <w:color w:val="000000"/>
          <w:sz w:val="25"/>
          <w:szCs w:val="25"/>
        </w:rPr>
        <w:t>第二部分 尼玛县</w:t>
      </w:r>
      <w:r>
        <w:rPr>
          <w:rFonts w:hint="eastAsia" w:ascii="微软雅黑" w:hAnsi="微软雅黑" w:eastAsia="微软雅黑" w:cs="微软雅黑"/>
          <w:color w:val="000000"/>
          <w:sz w:val="25"/>
          <w:szCs w:val="25"/>
          <w:lang w:eastAsia="zh-CN"/>
        </w:rPr>
        <w:t>卓尼乡</w:t>
      </w:r>
      <w:r>
        <w:rPr>
          <w:rFonts w:hint="eastAsia" w:ascii="微软雅黑" w:hAnsi="微软雅黑" w:eastAsia="微软雅黑" w:cs="宋体"/>
          <w:sz w:val="25"/>
          <w:szCs w:val="25"/>
        </w:rPr>
        <w:t>2018年度部门决算表</w:t>
      </w:r>
    </w:p>
    <w:p>
      <w:pPr>
        <w:pStyle w:val="4"/>
        <w:widowControl/>
        <w:spacing w:before="226" w:after="226" w:line="420" w:lineRule="atLeast"/>
        <w:ind w:firstLine="420"/>
        <w:jc w:val="both"/>
      </w:pPr>
      <w:r>
        <w:rPr>
          <w:rFonts w:hint="eastAsia" w:ascii="宋体" w:hAnsi="宋体" w:cs="宋体"/>
        </w:rPr>
        <w:t xml:space="preserve">一、收支决算总表  </w:t>
      </w:r>
    </w:p>
    <w:p>
      <w:pPr>
        <w:pStyle w:val="4"/>
        <w:widowControl/>
        <w:spacing w:before="226" w:after="226" w:line="420" w:lineRule="atLeast"/>
        <w:ind w:firstLine="420"/>
        <w:jc w:val="both"/>
      </w:pPr>
      <w:r>
        <w:rPr>
          <w:rFonts w:hint="eastAsia" w:ascii="宋体" w:hAnsi="宋体" w:cs="宋体"/>
        </w:rPr>
        <w:t>二、收入决算总表</w:t>
      </w:r>
    </w:p>
    <w:p>
      <w:pPr>
        <w:pStyle w:val="4"/>
        <w:widowControl/>
        <w:spacing w:before="226" w:after="226" w:line="420" w:lineRule="atLeast"/>
        <w:ind w:firstLine="420"/>
        <w:jc w:val="both"/>
      </w:pPr>
      <w:r>
        <w:rPr>
          <w:rFonts w:hint="eastAsia" w:ascii="宋体" w:hAnsi="宋体" w:cs="宋体"/>
        </w:rPr>
        <w:t>三、支出决算总表</w:t>
      </w:r>
    </w:p>
    <w:p>
      <w:pPr>
        <w:pStyle w:val="4"/>
        <w:widowControl/>
        <w:spacing w:before="226" w:after="226" w:line="420" w:lineRule="atLeast"/>
        <w:ind w:firstLine="420"/>
        <w:jc w:val="both"/>
      </w:pPr>
      <w:r>
        <w:rPr>
          <w:rFonts w:hint="eastAsia" w:ascii="宋体" w:hAnsi="宋体" w:cs="宋体"/>
        </w:rPr>
        <w:t>四、财政拨款收支决算总表</w:t>
      </w:r>
    </w:p>
    <w:p>
      <w:pPr>
        <w:pStyle w:val="4"/>
        <w:widowControl/>
        <w:spacing w:before="226" w:after="226" w:line="420" w:lineRule="atLeast"/>
        <w:ind w:firstLine="420"/>
        <w:jc w:val="both"/>
      </w:pPr>
      <w:r>
        <w:rPr>
          <w:rFonts w:hint="eastAsia" w:ascii="宋体" w:hAnsi="宋体" w:cs="宋体"/>
        </w:rPr>
        <w:t>五、一般公共预算财政拨款支出决算表</w:t>
      </w:r>
    </w:p>
    <w:p>
      <w:pPr>
        <w:pStyle w:val="4"/>
        <w:widowControl/>
        <w:spacing w:before="226" w:after="226" w:line="420" w:lineRule="atLeast"/>
        <w:ind w:firstLine="420"/>
        <w:jc w:val="both"/>
      </w:pPr>
      <w:r>
        <w:rPr>
          <w:rFonts w:hint="eastAsia" w:ascii="宋体" w:hAnsi="宋体" w:cs="宋体"/>
        </w:rPr>
        <w:t>六、一般公共预算财政拨款基本支出决算表</w:t>
      </w:r>
    </w:p>
    <w:p>
      <w:pPr>
        <w:pStyle w:val="4"/>
        <w:widowControl/>
        <w:spacing w:before="226" w:after="226" w:line="420" w:lineRule="atLeast"/>
        <w:ind w:firstLine="420"/>
        <w:jc w:val="both"/>
        <w:rPr>
          <w:rFonts w:ascii="宋体" w:hAnsi="宋体" w:cs="宋体"/>
        </w:rPr>
      </w:pPr>
      <w:r>
        <w:rPr>
          <w:rFonts w:hint="eastAsia" w:ascii="宋体" w:hAnsi="宋体" w:cs="宋体"/>
        </w:rPr>
        <w:t>七、一般公共预算相关经费支出决算表</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第三部分 尼玛县</w:t>
      </w:r>
      <w:r>
        <w:rPr>
          <w:rFonts w:hint="eastAsia" w:ascii="微软雅黑" w:hAnsi="微软雅黑" w:eastAsia="微软雅黑" w:cs="微软雅黑"/>
          <w:color w:val="000000"/>
          <w:sz w:val="25"/>
          <w:szCs w:val="25"/>
          <w:lang w:eastAsia="zh-CN"/>
        </w:rPr>
        <w:t>卓尼乡</w:t>
      </w:r>
      <w:r>
        <w:rPr>
          <w:rFonts w:hint="eastAsia" w:ascii="微软雅黑" w:hAnsi="微软雅黑" w:eastAsia="微软雅黑" w:cs="宋体"/>
          <w:sz w:val="25"/>
          <w:szCs w:val="25"/>
        </w:rPr>
        <w:t>2018年度部门决算数据说明</w:t>
      </w:r>
    </w:p>
    <w:p>
      <w:pPr>
        <w:pStyle w:val="4"/>
        <w:widowControl/>
        <w:spacing w:before="226" w:after="226" w:line="420" w:lineRule="atLeast"/>
        <w:ind w:firstLine="420"/>
        <w:jc w:val="both"/>
      </w:pPr>
      <w:r>
        <w:rPr>
          <w:rFonts w:hint="eastAsia" w:ascii="宋体" w:hAnsi="宋体" w:cs="宋体"/>
        </w:rPr>
        <w:t>一、2018年度一般公共预算收支总体情况说明</w:t>
      </w:r>
    </w:p>
    <w:p>
      <w:pPr>
        <w:pStyle w:val="4"/>
        <w:widowControl/>
        <w:spacing w:before="226" w:after="226" w:line="420" w:lineRule="atLeast"/>
        <w:ind w:firstLine="420"/>
        <w:jc w:val="both"/>
      </w:pPr>
      <w:r>
        <w:rPr>
          <w:rFonts w:hint="eastAsia" w:ascii="宋体" w:hAnsi="宋体" w:cs="宋体"/>
        </w:rPr>
        <w:t>二、2018年度一般公共预算收入情况说明</w:t>
      </w:r>
    </w:p>
    <w:p>
      <w:pPr>
        <w:pStyle w:val="4"/>
        <w:widowControl/>
        <w:spacing w:before="226" w:after="226" w:line="420" w:lineRule="atLeast"/>
        <w:ind w:firstLine="420"/>
        <w:jc w:val="both"/>
      </w:pPr>
      <w:r>
        <w:rPr>
          <w:rFonts w:hint="eastAsia" w:ascii="宋体" w:hAnsi="宋体" w:cs="宋体"/>
        </w:rPr>
        <w:t>三、2018年度一般公共预算支出情况说明</w:t>
      </w:r>
    </w:p>
    <w:p>
      <w:pPr>
        <w:pStyle w:val="4"/>
        <w:widowControl/>
        <w:spacing w:before="226" w:after="226" w:line="420" w:lineRule="atLeast"/>
        <w:ind w:firstLine="420"/>
        <w:jc w:val="both"/>
      </w:pPr>
      <w:r>
        <w:rPr>
          <w:rFonts w:hint="eastAsia" w:ascii="宋体" w:hAnsi="宋体" w:cs="宋体"/>
        </w:rPr>
        <w:t xml:space="preserve">四、2018年度一般公共预算财政拨款支出情况说明 </w:t>
      </w:r>
    </w:p>
    <w:p>
      <w:pPr>
        <w:pStyle w:val="4"/>
        <w:widowControl/>
        <w:spacing w:before="226" w:after="226" w:line="420" w:lineRule="atLeast"/>
        <w:ind w:firstLine="420"/>
        <w:jc w:val="both"/>
      </w:pPr>
      <w:r>
        <w:rPr>
          <w:rFonts w:hint="eastAsia" w:ascii="宋体" w:hAnsi="宋体" w:cs="宋体"/>
        </w:rPr>
        <w:t>五、2018年度“三公”及相关经费预决算情况说明</w:t>
      </w:r>
    </w:p>
    <w:p>
      <w:pPr>
        <w:pStyle w:val="4"/>
        <w:widowControl/>
        <w:spacing w:before="226" w:after="226" w:line="420" w:lineRule="atLeast"/>
        <w:ind w:firstLine="420"/>
        <w:jc w:val="both"/>
      </w:pPr>
      <w:r>
        <w:rPr>
          <w:rFonts w:hint="eastAsia" w:ascii="宋体" w:hAnsi="宋体" w:cs="宋体"/>
        </w:rPr>
        <w:t>六、2018年度机关运行情况说明</w:t>
      </w:r>
    </w:p>
    <w:p>
      <w:pPr>
        <w:pStyle w:val="4"/>
        <w:widowControl/>
        <w:spacing w:before="226" w:after="226" w:line="420" w:lineRule="atLeast"/>
        <w:ind w:firstLine="420"/>
        <w:jc w:val="both"/>
      </w:pPr>
      <w:r>
        <w:rPr>
          <w:rFonts w:hint="eastAsia" w:ascii="宋体" w:hAnsi="宋体" w:cs="宋体"/>
        </w:rPr>
        <w:t>七、政府采购情况说明</w:t>
      </w:r>
    </w:p>
    <w:p>
      <w:pPr>
        <w:pStyle w:val="4"/>
        <w:widowControl/>
        <w:spacing w:before="226" w:after="226" w:line="420" w:lineRule="atLeast"/>
        <w:ind w:firstLine="420"/>
        <w:jc w:val="both"/>
      </w:pPr>
      <w:r>
        <w:rPr>
          <w:rFonts w:hint="eastAsia" w:ascii="宋体" w:hAnsi="宋体" w:cs="宋体"/>
        </w:rPr>
        <w:t>八、国有资产占有使用情况</w:t>
      </w:r>
    </w:p>
    <w:p>
      <w:pPr>
        <w:pStyle w:val="4"/>
        <w:widowControl/>
        <w:spacing w:before="226" w:after="226" w:line="420" w:lineRule="atLeast"/>
        <w:ind w:firstLine="420"/>
        <w:jc w:val="both"/>
        <w:rPr>
          <w:rFonts w:ascii="宋体" w:hAnsi="宋体" w:cs="宋体"/>
        </w:rPr>
      </w:pPr>
      <w:r>
        <w:rPr>
          <w:rFonts w:hint="eastAsia" w:ascii="宋体" w:hAnsi="宋体" w:cs="宋体"/>
        </w:rPr>
        <w:t>九、预算绩效情况说明</w:t>
      </w:r>
    </w:p>
    <w:p>
      <w:pPr>
        <w:pStyle w:val="4"/>
        <w:widowControl/>
        <w:spacing w:beforeAutospacing="0" w:afterAutospacing="0" w:line="360" w:lineRule="auto"/>
        <w:ind w:firstLine="527"/>
        <w:rPr>
          <w:rFonts w:ascii="宋体" w:hAnsi="宋体" w:cs="宋体"/>
        </w:rPr>
      </w:pPr>
      <w:r>
        <w:rPr>
          <w:rFonts w:hint="eastAsia" w:ascii="宋体" w:hAnsi="宋体" w:cs="宋体"/>
        </w:rPr>
        <w:t>十、其他重要事项说明</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第四部分 名词解释</w:t>
      </w: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7"/>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jc w:val="center"/>
        <w:rPr>
          <w:rFonts w:ascii="微软雅黑" w:hAnsi="微软雅黑" w:eastAsia="微软雅黑" w:cs="微软雅黑"/>
          <w:color w:val="000000"/>
          <w:sz w:val="25"/>
          <w:szCs w:val="25"/>
        </w:rPr>
      </w:pPr>
      <w:r>
        <w:rPr>
          <w:rStyle w:val="7"/>
          <w:rFonts w:hint="eastAsia" w:ascii="微软雅黑" w:hAnsi="微软雅黑" w:eastAsia="微软雅黑" w:cs="微软雅黑"/>
          <w:color w:val="000000"/>
          <w:sz w:val="25"/>
          <w:szCs w:val="25"/>
        </w:rPr>
        <w:t>第一部分 尼玛县</w:t>
      </w:r>
      <w:r>
        <w:rPr>
          <w:rStyle w:val="7"/>
          <w:rFonts w:hint="eastAsia" w:ascii="微软雅黑" w:hAnsi="微软雅黑" w:eastAsia="微软雅黑" w:cs="微软雅黑"/>
          <w:color w:val="000000"/>
          <w:sz w:val="25"/>
          <w:szCs w:val="25"/>
          <w:lang w:eastAsia="zh-CN"/>
        </w:rPr>
        <w:t>卓尼乡</w:t>
      </w:r>
      <w:r>
        <w:rPr>
          <w:rStyle w:val="7"/>
          <w:rFonts w:hint="eastAsia" w:ascii="微软雅黑" w:hAnsi="微软雅黑" w:eastAsia="微软雅黑" w:cs="微软雅黑"/>
          <w:color w:val="000000"/>
          <w:sz w:val="25"/>
          <w:szCs w:val="25"/>
        </w:rPr>
        <w:t>概况</w:t>
      </w:r>
    </w:p>
    <w:p>
      <w:pPr>
        <w:pStyle w:val="4"/>
        <w:widowControl/>
        <w:numPr>
          <w:ilvl w:val="0"/>
          <w:numId w:val="1"/>
        </w:numPr>
        <w:spacing w:before="226" w:after="226" w:line="420" w:lineRule="atLeast"/>
        <w:jc w:val="both"/>
        <w:rPr>
          <w:rFonts w:ascii="黑体" w:hAnsi="宋体" w:eastAsia="黑体" w:cs="黑体"/>
        </w:rPr>
      </w:pPr>
      <w:r>
        <w:rPr>
          <w:rFonts w:hint="eastAsia" w:ascii="黑体" w:hAnsi="宋体" w:eastAsia="黑体" w:cs="黑体"/>
        </w:rPr>
        <w:t>部门决算单位构成</w:t>
      </w:r>
    </w:p>
    <w:p>
      <w:pPr>
        <w:pStyle w:val="4"/>
        <w:widowControl/>
        <w:spacing w:before="226" w:after="226" w:line="420" w:lineRule="atLeast"/>
        <w:ind w:left="900"/>
        <w:jc w:val="both"/>
        <w:rPr>
          <w:rFonts w:ascii="黑体" w:hAnsi="宋体" w:eastAsia="黑体" w:cs="黑体"/>
        </w:rPr>
      </w:pPr>
      <w:r>
        <w:rPr>
          <w:rFonts w:hint="eastAsia" w:ascii="宋体" w:hAnsi="宋体" w:cs="宋体"/>
        </w:rPr>
        <w:t>尼玛县</w:t>
      </w:r>
      <w:r>
        <w:rPr>
          <w:rFonts w:hint="eastAsia" w:ascii="宋体" w:hAnsi="宋体" w:cs="宋体"/>
          <w:lang w:eastAsia="zh-CN"/>
        </w:rPr>
        <w:t>卓尼乡</w:t>
      </w:r>
      <w:r>
        <w:rPr>
          <w:rFonts w:hint="eastAsia" w:ascii="宋体" w:hAnsi="宋体" w:cs="宋体"/>
        </w:rPr>
        <w:t>人民政府为尼玛县人民政府下辖乡镇,此次决算公开范围为</w:t>
      </w:r>
      <w:r>
        <w:rPr>
          <w:rFonts w:hint="eastAsia" w:ascii="宋体" w:hAnsi="宋体" w:cs="宋体"/>
          <w:lang w:eastAsia="zh-CN"/>
        </w:rPr>
        <w:t>卓尼乡</w:t>
      </w:r>
      <w:r>
        <w:rPr>
          <w:rFonts w:hint="eastAsia" w:ascii="宋体" w:hAnsi="宋体" w:cs="宋体"/>
        </w:rPr>
        <w:t>人民政府机关。</w:t>
      </w:r>
    </w:p>
    <w:p>
      <w:pPr>
        <w:pStyle w:val="4"/>
        <w:widowControl/>
        <w:numPr>
          <w:ilvl w:val="0"/>
          <w:numId w:val="1"/>
        </w:numPr>
        <w:spacing w:before="226" w:after="226" w:line="420" w:lineRule="atLeast"/>
        <w:jc w:val="both"/>
        <w:rPr>
          <w:rFonts w:ascii="黑体" w:hAnsi="宋体" w:eastAsia="黑体" w:cs="黑体"/>
        </w:rPr>
      </w:pPr>
      <w:r>
        <w:rPr>
          <w:rFonts w:hint="eastAsia" w:ascii="黑体" w:hAnsi="宋体" w:eastAsia="黑体" w:cs="黑体"/>
        </w:rPr>
        <w:t>部门职责和机构设置</w:t>
      </w:r>
    </w:p>
    <w:p>
      <w:pPr>
        <w:pStyle w:val="4"/>
        <w:widowControl/>
        <w:spacing w:before="226" w:after="226" w:line="420" w:lineRule="atLeast"/>
        <w:ind w:left="420"/>
        <w:jc w:val="both"/>
        <w:rPr>
          <w:rFonts w:ascii="楷体" w:hAnsi="楷体" w:eastAsia="楷体" w:cs="楷体"/>
        </w:rPr>
      </w:pPr>
      <w:r>
        <w:rPr>
          <w:rFonts w:ascii="楷体" w:hAnsi="楷体" w:eastAsia="楷体" w:cs="楷体"/>
        </w:rPr>
        <w:t>(一)部门职责</w:t>
      </w:r>
    </w:p>
    <w:p>
      <w:pPr>
        <w:pStyle w:val="4"/>
        <w:widowControl/>
        <w:spacing w:before="225" w:beforeAutospacing="0" w:after="300" w:afterAutospacing="0" w:line="450" w:lineRule="atLeast"/>
        <w:ind w:firstLine="525"/>
        <w:rPr>
          <w:rFonts w:cs="微软雅黑" w:asciiTheme="minorEastAsia" w:hAnsiTheme="minorEastAsia"/>
          <w:color w:val="000000"/>
        </w:rPr>
      </w:pPr>
      <w:r>
        <w:rPr>
          <w:rFonts w:hint="eastAsia" w:cs="微软雅黑" w:asciiTheme="minorEastAsia" w:hAnsiTheme="minorEastAsia"/>
          <w:color w:val="000000"/>
          <w:lang w:eastAsia="zh-CN"/>
        </w:rPr>
        <w:t>卓尼乡</w:t>
      </w:r>
      <w:r>
        <w:rPr>
          <w:rFonts w:hint="eastAsia" w:cs="微软雅黑" w:asciiTheme="minorEastAsia" w:hAnsiTheme="minorEastAsia"/>
          <w:color w:val="000000"/>
        </w:rPr>
        <w:t>设综合办事机构，分别为党政办公室、农牧综合办公室、财政所、安全生产办公室、环境保护办公室，镇脱贫攻坚指挥部，设3个直属事业机构，即农业服务中心、卫生院、文化站。</w:t>
      </w:r>
    </w:p>
    <w:p>
      <w:pPr>
        <w:pStyle w:val="4"/>
        <w:widowControl/>
        <w:spacing w:before="225" w:beforeAutospacing="0" w:after="300" w:afterAutospacing="0" w:line="450" w:lineRule="atLeast"/>
        <w:ind w:firstLine="525"/>
        <w:rPr>
          <w:rFonts w:cs="微软雅黑" w:asciiTheme="minorEastAsia" w:hAnsiTheme="minorEastAsia"/>
          <w:color w:val="000000"/>
        </w:rPr>
      </w:pPr>
      <w:r>
        <w:rPr>
          <w:rFonts w:hint="eastAsia" w:cs="微软雅黑" w:asciiTheme="minorEastAsia" w:hAnsiTheme="minorEastAsia"/>
          <w:color w:val="000000"/>
        </w:rPr>
        <w:t>1、党政办公室职能职责：负责组织、人事、宣传、统计、纪检、综治办、人大、保密、信息、文书档案管理、后勤保障和党政日常工作。负责财政所、计划生育管理、民政、老龄、残疾人事业和信访、矛盾纠纷排查调处等工作。</w:t>
      </w:r>
    </w:p>
    <w:p>
      <w:pPr>
        <w:pStyle w:val="4"/>
        <w:widowControl/>
        <w:spacing w:before="225" w:beforeAutospacing="0" w:after="300" w:afterAutospacing="0" w:line="450" w:lineRule="atLeast"/>
        <w:ind w:firstLine="480" w:firstLineChars="200"/>
        <w:rPr>
          <w:rFonts w:cs="微软雅黑" w:asciiTheme="minorEastAsia" w:hAnsiTheme="minorEastAsia"/>
          <w:color w:val="000000"/>
        </w:rPr>
      </w:pPr>
      <w:r>
        <w:rPr>
          <w:rFonts w:hint="eastAsia" w:cs="微软雅黑" w:asciiTheme="minorEastAsia" w:hAnsiTheme="minorEastAsia"/>
          <w:color w:val="000000"/>
        </w:rPr>
        <w:t>2、经济发展办公室职能职责：负责农业、农村经营管理和农业产业化发展、统计、安全生产等工作；负责土地管理、村镇建设，环境保护等工作、负责农村土地承包管理、农民负担监督管理和农村集体财务管理工作。</w:t>
      </w:r>
    </w:p>
    <w:p>
      <w:pPr>
        <w:pStyle w:val="4"/>
        <w:widowControl/>
        <w:spacing w:before="225" w:beforeAutospacing="0" w:after="300" w:afterAutospacing="0" w:line="450" w:lineRule="atLeast"/>
        <w:ind w:firstLine="480" w:firstLineChars="200"/>
        <w:rPr>
          <w:rFonts w:cs="微软雅黑" w:asciiTheme="minorEastAsia" w:hAnsiTheme="minorEastAsia"/>
          <w:color w:val="000000"/>
        </w:rPr>
      </w:pPr>
      <w:r>
        <w:rPr>
          <w:rFonts w:hint="eastAsia" w:cs="微软雅黑" w:asciiTheme="minorEastAsia" w:hAnsiTheme="minorEastAsia"/>
          <w:color w:val="000000"/>
        </w:rPr>
        <w:t>3、财政所职能职责：组织预算收支执行、监督财政资金使用，落实惠民资金政策，指导镇村财务管理等。贯彻执行各项财经法律、法规和制度；负责编报镇镇年度财政收支预算、决算并组织预算执行，协助税务机关和非税务收入执收部门征缴财政收入，协助有关机构代收代缴各类社会保障资金；负责各项惠民资金的审核发放和项目建设资金的监督管理；负责本镇的国有资产和政策性的债权债务；拟定镇财政监督检查制度；监督检查财税法规、政策的执行情况，反映财政收支管理中的重大问题，接受委托代管村级财务、债权债务，负责镇镇财务信息公开工作。</w:t>
      </w:r>
    </w:p>
    <w:p>
      <w:pPr>
        <w:pStyle w:val="4"/>
        <w:widowControl/>
        <w:spacing w:before="225" w:beforeAutospacing="0" w:after="300" w:afterAutospacing="0" w:line="450" w:lineRule="atLeast"/>
        <w:ind w:firstLine="480" w:firstLineChars="200"/>
        <w:rPr>
          <w:rFonts w:cs="微软雅黑" w:asciiTheme="minorEastAsia" w:hAnsiTheme="minorEastAsia"/>
          <w:color w:val="000000"/>
        </w:rPr>
      </w:pPr>
      <w:r>
        <w:rPr>
          <w:rFonts w:hint="eastAsia" w:cs="微软雅黑" w:asciiTheme="minorEastAsia" w:hAnsiTheme="minorEastAsia"/>
          <w:color w:val="000000"/>
        </w:rPr>
        <w:t>4、农业综合中心职能职责：农牧业生产中关键技术和新品种、新农具的引进、动物防疫及农业灾害的预测、预报防治和处置。</w:t>
      </w:r>
    </w:p>
    <w:p>
      <w:pPr>
        <w:pStyle w:val="4"/>
        <w:widowControl/>
        <w:spacing w:before="225" w:beforeAutospacing="0" w:after="300" w:afterAutospacing="0" w:line="450" w:lineRule="atLeast"/>
        <w:ind w:firstLine="480" w:firstLineChars="200"/>
        <w:rPr>
          <w:rFonts w:cs="微软雅黑" w:asciiTheme="minorEastAsia" w:hAnsiTheme="minorEastAsia"/>
          <w:color w:val="000000"/>
        </w:rPr>
      </w:pPr>
      <w:r>
        <w:rPr>
          <w:rFonts w:hint="eastAsia" w:cs="微软雅黑" w:asciiTheme="minorEastAsia" w:hAnsiTheme="minorEastAsia"/>
          <w:color w:val="000000"/>
        </w:rPr>
        <w:t>5、文化站职能职责:向广大人民群众进行宣传教育，研究文化活动规律，创作文艺作品，组织、辅导群众开展文体活动、普及科学文化知识、并提供活动场所，文化站建设是公共文化服务体系重要工程之一，是精神文明建设的重要窗口。</w:t>
      </w:r>
    </w:p>
    <w:p>
      <w:pPr>
        <w:pStyle w:val="4"/>
        <w:widowControl/>
        <w:spacing w:before="225" w:beforeAutospacing="0" w:after="300" w:afterAutospacing="0" w:line="450" w:lineRule="atLeast"/>
        <w:ind w:firstLine="480" w:firstLineChars="200"/>
        <w:rPr>
          <w:rFonts w:cs="微软雅黑" w:asciiTheme="minorEastAsia" w:hAnsiTheme="minorEastAsia"/>
          <w:color w:val="000000"/>
        </w:rPr>
      </w:pPr>
      <w:r>
        <w:rPr>
          <w:rFonts w:hint="eastAsia" w:cs="微软雅黑" w:asciiTheme="minorEastAsia" w:hAnsiTheme="minorEastAsia"/>
          <w:color w:val="000000"/>
        </w:rPr>
        <w:t>6、卫生院职能职责:组织领导群众卫生运动，培训卫生技术人员，并对基层卫生医疗机构进行业务指导和会诊工作。担负着医疗防疫保健的重要任务，是解决农村看病难看病贵的重要一关。严格执行新型农村合作医疗政策规定，履行定点医疗机构职责，做好相关的政策宣传、监督及服务工作。</w:t>
      </w:r>
    </w:p>
    <w:p>
      <w:pPr>
        <w:pStyle w:val="4"/>
        <w:widowControl/>
        <w:spacing w:before="225" w:beforeAutospacing="0" w:after="300" w:afterAutospacing="0" w:line="450" w:lineRule="atLeast"/>
        <w:ind w:firstLine="480" w:firstLineChars="200"/>
        <w:rPr>
          <w:rFonts w:cs="微软雅黑" w:asciiTheme="minorEastAsia" w:hAnsiTheme="minorEastAsia"/>
          <w:color w:val="000000"/>
        </w:rPr>
      </w:pPr>
      <w:r>
        <w:rPr>
          <w:rFonts w:hint="eastAsia" w:cs="微软雅黑" w:asciiTheme="minorEastAsia" w:hAnsiTheme="minorEastAsia"/>
          <w:color w:val="000000"/>
        </w:rPr>
        <w:t>7、承办镇政府交办的其他事项。</w:t>
      </w:r>
    </w:p>
    <w:p>
      <w:pPr>
        <w:pStyle w:val="4"/>
        <w:widowControl/>
        <w:spacing w:before="226" w:after="226" w:line="420" w:lineRule="atLeast"/>
        <w:ind w:firstLine="420"/>
        <w:jc w:val="both"/>
        <w:rPr>
          <w:rFonts w:eastAsia="楷体"/>
        </w:rPr>
      </w:pPr>
      <w:r>
        <w:rPr>
          <w:rFonts w:hint="eastAsia" w:ascii="楷体" w:hAnsi="楷体" w:eastAsia="楷体" w:cs="楷体"/>
        </w:rPr>
        <w:t>(二)部门机构设置</w:t>
      </w:r>
    </w:p>
    <w:p>
      <w:pPr>
        <w:pStyle w:val="4"/>
        <w:widowControl/>
        <w:spacing w:before="225" w:beforeAutospacing="0" w:after="300" w:afterAutospacing="0" w:line="450" w:lineRule="atLeast"/>
        <w:ind w:firstLine="525"/>
        <w:rPr>
          <w:rFonts w:cs="微软雅黑" w:asciiTheme="minorEastAsia" w:hAnsiTheme="minorEastAsia"/>
        </w:rPr>
      </w:pPr>
      <w:r>
        <w:rPr>
          <w:rFonts w:hint="eastAsia" w:cs="微软雅黑" w:asciiTheme="minorEastAsia" w:hAnsiTheme="minorEastAsia"/>
          <w:color w:val="000000"/>
        </w:rPr>
        <w:t>我</w:t>
      </w:r>
      <w:r>
        <w:rPr>
          <w:rFonts w:hint="eastAsia" w:cs="微软雅黑" w:asciiTheme="minorEastAsia" w:hAnsiTheme="minorEastAsia"/>
          <w:color w:val="000000"/>
          <w:lang w:eastAsia="zh-CN"/>
        </w:rPr>
        <w:t>乡</w:t>
      </w:r>
      <w:r>
        <w:rPr>
          <w:rFonts w:hint="eastAsia" w:cs="微软雅黑" w:asciiTheme="minorEastAsia" w:hAnsiTheme="minorEastAsia"/>
          <w:color w:val="000000"/>
        </w:rPr>
        <w:t>隶属行政机构，人员编制</w:t>
      </w:r>
      <w:r>
        <w:rPr>
          <w:rFonts w:hint="eastAsia" w:cs="微软雅黑" w:asciiTheme="minorEastAsia" w:hAnsiTheme="minorEastAsia"/>
          <w:color w:val="000000"/>
          <w:lang w:val="en-US" w:eastAsia="zh-CN"/>
        </w:rPr>
        <w:t>45</w:t>
      </w:r>
      <w:r>
        <w:rPr>
          <w:rFonts w:hint="eastAsia" w:cs="微软雅黑" w:asciiTheme="minorEastAsia" w:hAnsiTheme="minorEastAsia"/>
          <w:color w:val="000000"/>
        </w:rPr>
        <w:t>人， 党委</w:t>
      </w:r>
      <w:r>
        <w:rPr>
          <w:rFonts w:hint="eastAsia" w:cs="微软雅黑" w:asciiTheme="minorEastAsia" w:hAnsiTheme="minorEastAsia"/>
          <w:color w:val="000000"/>
          <w:lang w:val="en-US" w:eastAsia="zh-CN"/>
        </w:rPr>
        <w:t>6</w:t>
      </w:r>
      <w:r>
        <w:rPr>
          <w:rFonts w:hint="eastAsia" w:cs="微软雅黑" w:asciiTheme="minorEastAsia" w:hAnsiTheme="minorEastAsia"/>
          <w:color w:val="000000"/>
        </w:rPr>
        <w:t>人、人大</w:t>
      </w:r>
      <w:r>
        <w:rPr>
          <w:rFonts w:hint="eastAsia" w:cs="微软雅黑" w:asciiTheme="minorEastAsia" w:hAnsiTheme="minorEastAsia"/>
          <w:color w:val="000000"/>
          <w:lang w:val="en-US" w:eastAsia="zh-CN"/>
        </w:rPr>
        <w:t>2</w:t>
      </w:r>
      <w:r>
        <w:rPr>
          <w:rFonts w:hint="eastAsia" w:cs="微软雅黑" w:asciiTheme="minorEastAsia" w:hAnsiTheme="minorEastAsia"/>
          <w:color w:val="000000"/>
        </w:rPr>
        <w:t>人、政府</w:t>
      </w:r>
      <w:r>
        <w:rPr>
          <w:rFonts w:hint="eastAsia" w:cs="微软雅黑" w:asciiTheme="minorEastAsia" w:hAnsiTheme="minorEastAsia"/>
          <w:color w:val="000000"/>
          <w:lang w:val="en-US" w:eastAsia="zh-CN"/>
        </w:rPr>
        <w:t>7</w:t>
      </w:r>
      <w:r>
        <w:rPr>
          <w:rFonts w:hint="eastAsia" w:cs="微软雅黑" w:asciiTheme="minorEastAsia" w:hAnsiTheme="minorEastAsia"/>
          <w:color w:val="000000"/>
        </w:rPr>
        <w:t>人，</w:t>
      </w:r>
      <w:r>
        <w:rPr>
          <w:rFonts w:hint="eastAsia" w:cs="微软雅黑" w:asciiTheme="minorEastAsia" w:hAnsiTheme="minorEastAsia"/>
          <w:color w:val="000000"/>
          <w:lang w:eastAsia="zh-CN"/>
        </w:rPr>
        <w:t>参照公务员法管理人员</w:t>
      </w:r>
      <w:r>
        <w:rPr>
          <w:rFonts w:hint="eastAsia" w:cs="微软雅黑" w:asciiTheme="minorEastAsia" w:hAnsiTheme="minorEastAsia"/>
          <w:color w:val="000000"/>
          <w:lang w:val="en-US" w:eastAsia="zh-CN"/>
        </w:rPr>
        <w:t>30</w:t>
      </w:r>
      <w:r>
        <w:rPr>
          <w:rFonts w:hint="eastAsia" w:cs="微软雅黑" w:asciiTheme="minorEastAsia" w:hAnsiTheme="minorEastAsia"/>
          <w:color w:val="000000"/>
        </w:rPr>
        <w:t>。我</w:t>
      </w:r>
      <w:r>
        <w:rPr>
          <w:rFonts w:hint="eastAsia" w:cs="微软雅黑" w:asciiTheme="minorEastAsia" w:hAnsiTheme="minorEastAsia"/>
          <w:color w:val="000000"/>
          <w:lang w:eastAsia="zh-CN"/>
        </w:rPr>
        <w:t>乡</w:t>
      </w:r>
      <w:r>
        <w:rPr>
          <w:rFonts w:hint="eastAsia" w:cs="微软雅黑" w:asciiTheme="minorEastAsia" w:hAnsiTheme="minorEastAsia"/>
          <w:color w:val="000000"/>
        </w:rPr>
        <w:t>在职职工5</w:t>
      </w:r>
      <w:r>
        <w:rPr>
          <w:rFonts w:hint="eastAsia" w:cs="微软雅黑" w:asciiTheme="minorEastAsia" w:hAnsiTheme="minorEastAsia"/>
          <w:color w:val="000000"/>
          <w:lang w:val="en-US" w:eastAsia="zh-CN"/>
        </w:rPr>
        <w:t>0</w:t>
      </w:r>
      <w:r>
        <w:rPr>
          <w:rFonts w:hint="eastAsia" w:cs="微软雅黑" w:asciiTheme="minorEastAsia" w:hAnsiTheme="minorEastAsia"/>
          <w:color w:val="000000"/>
        </w:rPr>
        <w:t>人（借调</w:t>
      </w:r>
      <w:r>
        <w:rPr>
          <w:rFonts w:hint="eastAsia" w:cs="微软雅黑" w:asciiTheme="minorEastAsia" w:hAnsiTheme="minorEastAsia"/>
          <w:color w:val="000000"/>
          <w:lang w:val="en-US" w:eastAsia="zh-CN"/>
        </w:rPr>
        <w:t>2</w:t>
      </w:r>
      <w:r>
        <w:rPr>
          <w:rFonts w:hint="eastAsia" w:cs="微软雅黑" w:asciiTheme="minorEastAsia" w:hAnsiTheme="minorEastAsia"/>
          <w:color w:val="000000"/>
        </w:rPr>
        <w:t>人），其中：副县级干部1名，正科级干部</w:t>
      </w:r>
      <w:r>
        <w:rPr>
          <w:rFonts w:hint="eastAsia" w:cs="微软雅黑" w:asciiTheme="minorEastAsia" w:hAnsiTheme="minorEastAsia"/>
          <w:color w:val="000000"/>
          <w:lang w:val="en-US" w:eastAsia="zh-CN"/>
        </w:rPr>
        <w:t>2</w:t>
      </w:r>
      <w:r>
        <w:rPr>
          <w:rFonts w:hint="eastAsia" w:cs="微软雅黑" w:asciiTheme="minorEastAsia" w:hAnsiTheme="minorEastAsia"/>
          <w:color w:val="000000"/>
        </w:rPr>
        <w:t>人、副科级部</w:t>
      </w:r>
      <w:r>
        <w:rPr>
          <w:rFonts w:hint="eastAsia" w:cs="微软雅黑" w:asciiTheme="minorEastAsia" w:hAnsiTheme="minorEastAsia"/>
          <w:color w:val="000000"/>
          <w:lang w:val="en-US" w:eastAsia="zh-CN"/>
        </w:rPr>
        <w:t>6</w:t>
      </w:r>
      <w:r>
        <w:rPr>
          <w:rFonts w:hint="eastAsia" w:cs="微软雅黑" w:asciiTheme="minorEastAsia" w:hAnsiTheme="minorEastAsia"/>
          <w:color w:val="000000"/>
        </w:rPr>
        <w:t>人，科员及以下干部</w:t>
      </w:r>
      <w:r>
        <w:rPr>
          <w:rFonts w:hint="eastAsia" w:cs="微软雅黑" w:asciiTheme="minorEastAsia" w:hAnsiTheme="minorEastAsia"/>
          <w:color w:val="000000"/>
          <w:lang w:val="en-US" w:eastAsia="zh-CN"/>
        </w:rPr>
        <w:t>41</w:t>
      </w:r>
      <w:r>
        <w:rPr>
          <w:rFonts w:hint="eastAsia" w:cs="微软雅黑" w:asciiTheme="minorEastAsia" w:hAnsiTheme="minorEastAsia"/>
          <w:color w:val="000000"/>
        </w:rPr>
        <w:t>人。我</w:t>
      </w:r>
      <w:r>
        <w:rPr>
          <w:rFonts w:hint="eastAsia" w:cs="微软雅黑" w:asciiTheme="minorEastAsia" w:hAnsiTheme="minorEastAsia"/>
          <w:color w:val="000000"/>
          <w:lang w:eastAsia="zh-CN"/>
        </w:rPr>
        <w:t>乡</w:t>
      </w:r>
      <w:r>
        <w:rPr>
          <w:rFonts w:hint="eastAsia" w:cs="微软雅黑" w:asciiTheme="minorEastAsia" w:hAnsiTheme="minorEastAsia"/>
          <w:color w:val="000000"/>
        </w:rPr>
        <w:t>设置书记办公室、</w:t>
      </w:r>
      <w:r>
        <w:rPr>
          <w:rFonts w:hint="eastAsia" w:cs="微软雅黑" w:asciiTheme="minorEastAsia" w:hAnsiTheme="minorEastAsia"/>
          <w:color w:val="000000"/>
          <w:lang w:eastAsia="zh-CN"/>
        </w:rPr>
        <w:t>乡</w:t>
      </w:r>
      <w:r>
        <w:rPr>
          <w:rFonts w:hint="eastAsia" w:cs="微软雅黑" w:asciiTheme="minorEastAsia" w:hAnsiTheme="minorEastAsia"/>
          <w:color w:val="000000"/>
        </w:rPr>
        <w:t>长办公室、党建办公室、 综治办公室、扶贫办公室、财政所等 。我</w:t>
      </w:r>
      <w:r>
        <w:rPr>
          <w:rFonts w:hint="eastAsia" w:cs="微软雅黑" w:asciiTheme="minorEastAsia" w:hAnsiTheme="minorEastAsia"/>
          <w:color w:val="000000"/>
          <w:lang w:eastAsia="zh-CN"/>
        </w:rPr>
        <w:t>乡</w:t>
      </w:r>
      <w:r>
        <w:rPr>
          <w:rFonts w:hint="eastAsia" w:cs="微软雅黑" w:asciiTheme="minorEastAsia" w:hAnsiTheme="minorEastAsia"/>
          <w:color w:val="000000"/>
        </w:rPr>
        <w:t>财政认可车辆为</w:t>
      </w:r>
      <w:r>
        <w:rPr>
          <w:rFonts w:hint="eastAsia" w:cs="微软雅黑" w:asciiTheme="minorEastAsia" w:hAnsiTheme="minorEastAsia"/>
          <w:color w:val="000000"/>
          <w:lang w:val="en-US" w:eastAsia="zh-CN"/>
        </w:rPr>
        <w:t>5</w:t>
      </w:r>
      <w:r>
        <w:rPr>
          <w:rFonts w:hint="eastAsia" w:cs="微软雅黑" w:asciiTheme="minorEastAsia" w:hAnsiTheme="minorEastAsia"/>
          <w:color w:val="000000"/>
        </w:rPr>
        <w:t>辆，其中越野车</w:t>
      </w:r>
      <w:r>
        <w:rPr>
          <w:rFonts w:hint="eastAsia" w:cs="微软雅黑" w:asciiTheme="minorEastAsia" w:hAnsiTheme="minorEastAsia"/>
          <w:color w:val="000000"/>
          <w:lang w:val="en-US" w:eastAsia="zh-CN"/>
        </w:rPr>
        <w:t>4</w:t>
      </w:r>
      <w:r>
        <w:rPr>
          <w:rFonts w:hint="eastAsia" w:cs="微软雅黑" w:asciiTheme="minorEastAsia" w:hAnsiTheme="minorEastAsia"/>
          <w:color w:val="000000"/>
        </w:rPr>
        <w:t>辆，摩托车1辆、。单位实</w:t>
      </w:r>
      <w:r>
        <w:rPr>
          <w:rFonts w:hint="eastAsia" w:cs="微软雅黑" w:asciiTheme="minorEastAsia" w:hAnsiTheme="minorEastAsia"/>
        </w:rPr>
        <w:t>有车辆</w:t>
      </w:r>
      <w:r>
        <w:rPr>
          <w:rFonts w:hint="eastAsia" w:cs="微软雅黑" w:asciiTheme="minorEastAsia" w:hAnsiTheme="minorEastAsia"/>
          <w:lang w:val="en-US" w:eastAsia="zh-CN"/>
        </w:rPr>
        <w:t>5</w:t>
      </w:r>
      <w:r>
        <w:rPr>
          <w:rFonts w:hint="eastAsia" w:cs="微软雅黑" w:asciiTheme="minorEastAsia" w:hAnsiTheme="minorEastAsia"/>
        </w:rPr>
        <w:t>辆（其中</w:t>
      </w:r>
      <w:r>
        <w:rPr>
          <w:rFonts w:hint="eastAsia" w:cs="微软雅黑" w:asciiTheme="minorEastAsia" w:hAnsiTheme="minorEastAsia"/>
          <w:color w:val="000000"/>
        </w:rPr>
        <w:t>越野车</w:t>
      </w:r>
      <w:r>
        <w:rPr>
          <w:rFonts w:hint="eastAsia" w:cs="微软雅黑" w:asciiTheme="minorEastAsia" w:hAnsiTheme="minorEastAsia"/>
          <w:color w:val="000000"/>
          <w:lang w:val="en-US" w:eastAsia="zh-CN"/>
        </w:rPr>
        <w:t>4</w:t>
      </w:r>
      <w:r>
        <w:rPr>
          <w:rFonts w:hint="eastAsia" w:cs="微软雅黑" w:asciiTheme="minorEastAsia" w:hAnsiTheme="minorEastAsia"/>
          <w:color w:val="000000"/>
        </w:rPr>
        <w:t>辆</w:t>
      </w:r>
      <w:r>
        <w:rPr>
          <w:rFonts w:hint="eastAsia" w:cs="微软雅黑" w:asciiTheme="minorEastAsia" w:hAnsiTheme="minorEastAsia"/>
        </w:rPr>
        <w:t>，</w:t>
      </w:r>
      <w:r>
        <w:rPr>
          <w:rFonts w:hint="eastAsia" w:cs="微软雅黑" w:asciiTheme="minorEastAsia" w:hAnsiTheme="minorEastAsia"/>
          <w:color w:val="000000"/>
        </w:rPr>
        <w:t>摩托车1辆</w:t>
      </w:r>
      <w:r>
        <w:rPr>
          <w:rFonts w:hint="eastAsia" w:cs="微软雅黑" w:asciiTheme="minorEastAsia" w:hAnsiTheme="minorEastAsia"/>
        </w:rPr>
        <w:t xml:space="preserve">）。                      </w:t>
      </w:r>
    </w:p>
    <w:p>
      <w:pPr>
        <w:pStyle w:val="4"/>
        <w:widowControl/>
        <w:numPr>
          <w:ilvl w:val="0"/>
          <w:numId w:val="2"/>
        </w:numPr>
        <w:spacing w:before="225" w:beforeAutospacing="0" w:after="300" w:afterAutospacing="0" w:line="450" w:lineRule="atLeast"/>
        <w:ind w:firstLine="525"/>
        <w:jc w:val="center"/>
        <w:rPr>
          <w:rStyle w:val="7"/>
          <w:rFonts w:ascii="微软雅黑" w:hAnsi="微软雅黑" w:eastAsia="微软雅黑" w:cs="微软雅黑"/>
          <w:color w:val="000000" w:themeColor="text1"/>
          <w:sz w:val="25"/>
          <w:szCs w:val="25"/>
          <w14:textFill>
            <w14:solidFill>
              <w14:schemeClr w14:val="tx1"/>
            </w14:solidFill>
          </w14:textFill>
        </w:rPr>
      </w:pPr>
      <w:r>
        <w:rPr>
          <w:rStyle w:val="7"/>
          <w:rFonts w:hint="eastAsia" w:ascii="微软雅黑" w:hAnsi="微软雅黑" w:eastAsia="微软雅黑" w:cs="微软雅黑"/>
          <w:color w:val="000000" w:themeColor="text1"/>
          <w:sz w:val="25"/>
          <w:szCs w:val="25"/>
          <w14:textFill>
            <w14:solidFill>
              <w14:schemeClr w14:val="tx1"/>
            </w14:solidFill>
          </w14:textFill>
        </w:rPr>
        <w:t>尼玛县</w:t>
      </w:r>
      <w:r>
        <w:rPr>
          <w:rStyle w:val="7"/>
          <w:rFonts w:hint="eastAsia" w:ascii="微软雅黑" w:hAnsi="微软雅黑" w:eastAsia="微软雅黑" w:cs="微软雅黑"/>
          <w:color w:val="000000" w:themeColor="text1"/>
          <w:sz w:val="25"/>
          <w:szCs w:val="25"/>
          <w:lang w:eastAsia="zh-CN"/>
          <w14:textFill>
            <w14:solidFill>
              <w14:schemeClr w14:val="tx1"/>
            </w14:solidFill>
          </w14:textFill>
        </w:rPr>
        <w:t>卓尼乡</w:t>
      </w:r>
      <w:r>
        <w:rPr>
          <w:rFonts w:hint="eastAsia" w:ascii="微软雅黑" w:hAnsi="微软雅黑" w:eastAsia="微软雅黑" w:cs="黑体"/>
          <w:b/>
          <w:bCs/>
          <w:sz w:val="25"/>
          <w:szCs w:val="25"/>
        </w:rPr>
        <w:t>2018年度部门决算表</w:t>
      </w:r>
    </w:p>
    <w:p>
      <w:pPr>
        <w:pStyle w:val="4"/>
        <w:widowControl/>
        <w:spacing w:before="225" w:beforeAutospacing="0" w:after="300" w:afterAutospacing="0" w:line="450" w:lineRule="atLeast"/>
        <w:ind w:firstLine="525"/>
        <w:jc w:val="center"/>
        <w:rPr>
          <w:rFonts w:cs="微软雅黑" w:asciiTheme="minorEastAsia" w:hAnsiTheme="minorEastAsia"/>
          <w:color w:val="000000"/>
        </w:rPr>
      </w:pPr>
      <w:r>
        <w:rPr>
          <w:rFonts w:hint="eastAsia" w:cs="微软雅黑" w:asciiTheme="minorEastAsia" w:hAnsiTheme="minorEastAsia"/>
          <w:color w:val="000000"/>
        </w:rPr>
        <w:t>明细表详见附件</w:t>
      </w:r>
    </w:p>
    <w:p>
      <w:pPr>
        <w:pStyle w:val="4"/>
        <w:widowControl/>
        <w:spacing w:before="226" w:after="226" w:line="420" w:lineRule="atLeast"/>
        <w:jc w:val="center"/>
        <w:rPr>
          <w:rFonts w:ascii="微软雅黑" w:hAnsi="微软雅黑" w:eastAsia="微软雅黑"/>
          <w:b/>
          <w:bCs/>
          <w:sz w:val="25"/>
          <w:szCs w:val="25"/>
        </w:rPr>
      </w:pPr>
      <w:r>
        <w:rPr>
          <w:rStyle w:val="7"/>
          <w:rFonts w:hint="eastAsia" w:ascii="微软雅黑" w:hAnsi="微软雅黑" w:eastAsia="微软雅黑" w:cs="微软雅黑"/>
          <w:color w:val="000000"/>
          <w:sz w:val="25"/>
          <w:szCs w:val="25"/>
        </w:rPr>
        <w:t>第三部分 尼玛县</w:t>
      </w:r>
      <w:r>
        <w:rPr>
          <w:rStyle w:val="7"/>
          <w:rFonts w:hint="eastAsia" w:ascii="微软雅黑" w:hAnsi="微软雅黑" w:eastAsia="微软雅黑" w:cs="微软雅黑"/>
          <w:color w:val="000000"/>
          <w:sz w:val="25"/>
          <w:szCs w:val="25"/>
          <w:lang w:eastAsia="zh-CN"/>
        </w:rPr>
        <w:t>卓尼乡</w:t>
      </w:r>
      <w:r>
        <w:rPr>
          <w:rFonts w:hint="eastAsia" w:ascii="微软雅黑" w:hAnsi="微软雅黑" w:eastAsia="微软雅黑" w:cs="黑体"/>
          <w:b/>
          <w:bCs/>
          <w:sz w:val="25"/>
          <w:szCs w:val="25"/>
        </w:rPr>
        <w:t>2018年度部门决算数据说明</w:t>
      </w:r>
    </w:p>
    <w:p>
      <w:pPr>
        <w:pStyle w:val="4"/>
        <w:widowControl/>
        <w:spacing w:before="226" w:after="226" w:line="420" w:lineRule="atLeast"/>
        <w:ind w:firstLine="420"/>
        <w:jc w:val="both"/>
      </w:pPr>
      <w:r>
        <w:rPr>
          <w:rFonts w:hint="eastAsia" w:ascii="黑体" w:hAnsi="宋体" w:eastAsia="黑体" w:cs="黑体"/>
        </w:rPr>
        <w:t>一、2018年度一般公共预算收支总体情况说明</w:t>
      </w:r>
    </w:p>
    <w:p>
      <w:pPr>
        <w:pStyle w:val="4"/>
        <w:widowControl/>
        <w:spacing w:before="226" w:after="226" w:line="420" w:lineRule="atLeast"/>
        <w:ind w:firstLine="420"/>
        <w:jc w:val="both"/>
        <w:rPr>
          <w:rFonts w:cs="宋体" w:asciiTheme="minorEastAsia" w:hAnsiTheme="minorEastAsia"/>
        </w:rPr>
      </w:pPr>
      <w:r>
        <w:rPr>
          <w:rFonts w:hint="eastAsia" w:cs="宋体" w:asciiTheme="minorEastAsia" w:hAnsiTheme="minorEastAsia"/>
        </w:rPr>
        <w:t>我</w:t>
      </w:r>
      <w:r>
        <w:rPr>
          <w:rFonts w:hint="eastAsia" w:cs="宋体" w:asciiTheme="minorEastAsia" w:hAnsiTheme="minorEastAsia"/>
          <w:lang w:eastAsia="zh-CN"/>
        </w:rPr>
        <w:t>乡</w:t>
      </w:r>
      <w:r>
        <w:rPr>
          <w:rFonts w:hint="eastAsia" w:cs="宋体" w:asciiTheme="minorEastAsia" w:hAnsiTheme="minorEastAsia"/>
        </w:rPr>
        <w:t>2018年度总收入</w:t>
      </w:r>
      <w:r>
        <w:rPr>
          <w:rFonts w:hint="eastAsia" w:cs="宋体" w:asciiTheme="minorEastAsia" w:hAnsiTheme="minorEastAsia"/>
          <w:lang w:val="en-US" w:eastAsia="zh-CN"/>
        </w:rPr>
        <w:t>844.88</w:t>
      </w:r>
      <w:r>
        <w:rPr>
          <w:rFonts w:hint="eastAsia" w:cs="宋体" w:asciiTheme="minorEastAsia" w:hAnsiTheme="minorEastAsia"/>
        </w:rPr>
        <w:t>万元,总支出</w:t>
      </w:r>
      <w:r>
        <w:rPr>
          <w:rFonts w:hint="eastAsia" w:cs="宋体" w:asciiTheme="minorEastAsia" w:hAnsiTheme="minorEastAsia"/>
          <w:lang w:val="en-US" w:eastAsia="zh-CN"/>
        </w:rPr>
        <w:t>822.8</w:t>
      </w:r>
      <w:r>
        <w:rPr>
          <w:rFonts w:hint="eastAsia" w:cs="宋体" w:asciiTheme="minorEastAsia" w:hAnsiTheme="minorEastAsia"/>
        </w:rPr>
        <w:t>万元,结转结余</w:t>
      </w:r>
      <w:r>
        <w:rPr>
          <w:rFonts w:hint="eastAsia" w:cs="宋体" w:asciiTheme="minorEastAsia" w:hAnsiTheme="minorEastAsia"/>
          <w:lang w:val="en-US" w:eastAsia="zh-CN"/>
        </w:rPr>
        <w:t>22.08</w:t>
      </w:r>
      <w:r>
        <w:rPr>
          <w:rFonts w:hint="eastAsia" w:cs="宋体" w:asciiTheme="minorEastAsia" w:hAnsiTheme="minorEastAsia"/>
        </w:rPr>
        <w:t>万元。</w:t>
      </w:r>
    </w:p>
    <w:p>
      <w:pPr>
        <w:pStyle w:val="4"/>
        <w:widowControl/>
        <w:spacing w:before="226" w:after="226" w:line="420" w:lineRule="atLeast"/>
        <w:ind w:firstLine="420"/>
        <w:jc w:val="both"/>
      </w:pPr>
      <w:r>
        <w:rPr>
          <w:rFonts w:hint="eastAsia" w:ascii="黑体" w:hAnsi="宋体" w:eastAsia="黑体" w:cs="黑体"/>
        </w:rPr>
        <w:t>二、2018年度一般公共预算收入情况说明</w:t>
      </w:r>
    </w:p>
    <w:p>
      <w:pPr>
        <w:pStyle w:val="4"/>
        <w:widowControl/>
        <w:spacing w:before="226" w:after="226" w:line="420" w:lineRule="atLeast"/>
        <w:ind w:firstLine="420"/>
        <w:jc w:val="both"/>
        <w:rPr>
          <w:rFonts w:asciiTheme="minorEastAsia" w:hAnsiTheme="minorEastAsia"/>
        </w:rPr>
      </w:pPr>
      <w:r>
        <w:rPr>
          <w:rFonts w:hint="eastAsia" w:cs="宋体" w:asciiTheme="minorEastAsia" w:hAnsiTheme="minorEastAsia"/>
        </w:rPr>
        <w:t>2018年度总收入</w:t>
      </w:r>
      <w:r>
        <w:rPr>
          <w:rFonts w:hint="eastAsia" w:cs="宋体" w:asciiTheme="minorEastAsia" w:hAnsiTheme="minorEastAsia"/>
          <w:lang w:val="en-US" w:eastAsia="zh-CN"/>
        </w:rPr>
        <w:t>844.88</w:t>
      </w:r>
      <w:r>
        <w:rPr>
          <w:rFonts w:hint="eastAsia" w:cs="宋体" w:asciiTheme="minorEastAsia" w:hAnsiTheme="minorEastAsia"/>
        </w:rPr>
        <w:t>万元,其中:当年财政拨款收入</w:t>
      </w:r>
      <w:r>
        <w:rPr>
          <w:rFonts w:hint="eastAsia" w:cs="宋体" w:asciiTheme="minorEastAsia" w:hAnsiTheme="minorEastAsia"/>
          <w:lang w:val="en-US" w:eastAsia="zh-CN"/>
        </w:rPr>
        <w:t>844.88</w:t>
      </w:r>
      <w:r>
        <w:rPr>
          <w:rFonts w:hint="eastAsia" w:cs="宋体" w:asciiTheme="minorEastAsia" w:hAnsiTheme="minorEastAsia"/>
        </w:rPr>
        <w:t>万元,上年财政拨款结转结余0万元。2018年度财政拨款总收入</w:t>
      </w:r>
      <w:r>
        <w:rPr>
          <w:rFonts w:hint="eastAsia" w:cs="宋体" w:asciiTheme="minorEastAsia" w:hAnsiTheme="minorEastAsia"/>
          <w:lang w:val="en-US" w:eastAsia="zh-CN"/>
        </w:rPr>
        <w:t>844.88</w:t>
      </w:r>
      <w:r>
        <w:rPr>
          <w:rFonts w:hint="eastAsia" w:cs="宋体" w:asciiTheme="minorEastAsia" w:hAnsiTheme="minorEastAsia"/>
        </w:rPr>
        <w:t>万元,</w:t>
      </w:r>
      <w:r>
        <w:rPr>
          <w:rFonts w:asciiTheme="minorEastAsia" w:hAnsiTheme="minorEastAsia"/>
        </w:rPr>
        <w:t xml:space="preserve"> </w:t>
      </w:r>
    </w:p>
    <w:p>
      <w:pPr>
        <w:pStyle w:val="4"/>
        <w:widowControl/>
        <w:spacing w:before="226" w:after="226" w:line="420" w:lineRule="atLeast"/>
        <w:ind w:firstLine="420"/>
        <w:jc w:val="both"/>
      </w:pPr>
      <w:r>
        <w:rPr>
          <w:rFonts w:hint="eastAsia" w:ascii="黑体" w:hAnsi="宋体" w:eastAsia="黑体" w:cs="黑体"/>
        </w:rPr>
        <w:t>三、2018年度一般公共预算支出情况说明</w:t>
      </w:r>
    </w:p>
    <w:p>
      <w:pPr>
        <w:pStyle w:val="4"/>
        <w:widowControl/>
        <w:spacing w:before="226" w:after="226" w:line="420" w:lineRule="atLeast"/>
        <w:ind w:firstLine="420"/>
        <w:jc w:val="both"/>
        <w:rPr>
          <w:rFonts w:cs="宋体" w:asciiTheme="minorEastAsia" w:hAnsiTheme="minorEastAsia"/>
          <w:color w:val="auto"/>
        </w:rPr>
      </w:pPr>
      <w:r>
        <w:rPr>
          <w:rFonts w:hint="eastAsia" w:cs="宋体" w:asciiTheme="minorEastAsia" w:hAnsiTheme="minorEastAsia"/>
          <w:color w:val="auto"/>
        </w:rPr>
        <w:t>2018年度全年总支</w:t>
      </w:r>
      <w:r>
        <w:rPr>
          <w:rFonts w:hint="eastAsia" w:cs="宋体" w:asciiTheme="minorEastAsia" w:hAnsiTheme="minorEastAsia"/>
          <w:color w:val="auto"/>
          <w:lang w:eastAsia="zh-CN"/>
        </w:rPr>
        <w:t>出</w:t>
      </w:r>
      <w:r>
        <w:rPr>
          <w:rFonts w:hint="eastAsia" w:cs="宋体" w:asciiTheme="minorEastAsia" w:hAnsiTheme="minorEastAsia"/>
          <w:color w:val="auto"/>
          <w:lang w:val="en-US" w:eastAsia="zh-CN"/>
        </w:rPr>
        <w:t>844.88</w:t>
      </w:r>
      <w:r>
        <w:rPr>
          <w:rFonts w:hint="eastAsia" w:cs="宋体" w:asciiTheme="minorEastAsia" w:hAnsiTheme="minorEastAsia"/>
          <w:color w:val="auto"/>
        </w:rPr>
        <w:t>万元,其中:财政拨款支出</w:t>
      </w:r>
      <w:r>
        <w:rPr>
          <w:rFonts w:hint="eastAsia" w:cs="宋体" w:asciiTheme="minorEastAsia" w:hAnsiTheme="minorEastAsia"/>
          <w:color w:val="auto"/>
          <w:lang w:val="en-US" w:eastAsia="zh-CN"/>
        </w:rPr>
        <w:t>844.88</w:t>
      </w:r>
      <w:r>
        <w:rPr>
          <w:rFonts w:hint="eastAsia" w:cs="宋体" w:asciiTheme="minorEastAsia" w:hAnsiTheme="minorEastAsia"/>
          <w:color w:val="auto"/>
        </w:rPr>
        <w:t>万元。2018年度结转结余2</w:t>
      </w:r>
      <w:r>
        <w:rPr>
          <w:rFonts w:hint="eastAsia" w:cs="宋体" w:asciiTheme="minorEastAsia" w:hAnsiTheme="minorEastAsia"/>
          <w:color w:val="auto"/>
          <w:lang w:val="en-US" w:eastAsia="zh-CN"/>
        </w:rPr>
        <w:t>2.08</w:t>
      </w:r>
      <w:r>
        <w:rPr>
          <w:rFonts w:hint="eastAsia" w:cs="宋体" w:asciiTheme="minorEastAsia" w:hAnsiTheme="minorEastAsia"/>
          <w:color w:val="auto"/>
        </w:rPr>
        <w:t>万元。</w:t>
      </w:r>
    </w:p>
    <w:p>
      <w:pPr>
        <w:pStyle w:val="4"/>
        <w:widowControl/>
        <w:spacing w:before="226" w:after="226" w:line="420" w:lineRule="atLeast"/>
        <w:ind w:firstLine="420"/>
        <w:jc w:val="both"/>
      </w:pPr>
      <w:r>
        <w:rPr>
          <w:rFonts w:hint="eastAsia" w:ascii="黑体" w:hAnsi="宋体" w:eastAsia="黑体" w:cs="黑体"/>
        </w:rPr>
        <w:t>四、2018年度一般公共预算财政拨款支出情况说明</w:t>
      </w:r>
    </w:p>
    <w:p>
      <w:pPr>
        <w:pStyle w:val="4"/>
        <w:widowControl/>
        <w:spacing w:before="226" w:after="226" w:line="420" w:lineRule="atLeast"/>
        <w:ind w:firstLine="420"/>
        <w:jc w:val="both"/>
      </w:pPr>
      <w:r>
        <w:rPr>
          <w:rFonts w:hint="eastAsia" w:ascii="楷体" w:hAnsi="楷体" w:eastAsia="楷体" w:cs="楷体"/>
        </w:rPr>
        <w:t>(一)财政拨款支出决算总体情况。</w:t>
      </w:r>
    </w:p>
    <w:p>
      <w:pPr>
        <w:pStyle w:val="4"/>
        <w:widowControl/>
        <w:spacing w:before="226" w:after="226" w:line="420" w:lineRule="atLeast"/>
        <w:ind w:firstLine="420"/>
        <w:jc w:val="both"/>
        <w:rPr>
          <w:rFonts w:asciiTheme="minorEastAsia" w:hAnsiTheme="minorEastAsia"/>
        </w:rPr>
      </w:pPr>
      <w:r>
        <w:rPr>
          <w:rFonts w:hint="eastAsia" w:cs="宋体" w:asciiTheme="minorEastAsia" w:hAnsiTheme="minorEastAsia"/>
        </w:rPr>
        <w:t>2018年度财政拨款支出</w:t>
      </w:r>
      <w:r>
        <w:rPr>
          <w:rFonts w:hint="eastAsia" w:cs="宋体" w:asciiTheme="minorEastAsia" w:hAnsiTheme="minorEastAsia"/>
          <w:lang w:val="en-US" w:eastAsia="zh-CN"/>
        </w:rPr>
        <w:t>844.88</w:t>
      </w:r>
      <w:r>
        <w:rPr>
          <w:rFonts w:hint="eastAsia" w:cs="宋体" w:asciiTheme="minorEastAsia" w:hAnsiTheme="minorEastAsia"/>
        </w:rPr>
        <w:t>万元,其中:基本支出</w:t>
      </w:r>
      <w:r>
        <w:rPr>
          <w:rFonts w:hint="eastAsia" w:cs="宋体" w:asciiTheme="minorEastAsia" w:hAnsiTheme="minorEastAsia"/>
          <w:lang w:val="en-US" w:eastAsia="zh-CN"/>
        </w:rPr>
        <w:t>844.88</w:t>
      </w:r>
      <w:r>
        <w:rPr>
          <w:rFonts w:hint="eastAsia" w:cs="宋体" w:asciiTheme="minorEastAsia" w:hAnsiTheme="minorEastAsia"/>
        </w:rPr>
        <w:t>万元,占总支出数的100%。</w:t>
      </w:r>
      <w:r>
        <w:rPr>
          <w:rFonts w:asciiTheme="minorEastAsia" w:hAnsiTheme="minorEastAsia"/>
        </w:rPr>
        <w:t xml:space="preserve"> </w:t>
      </w:r>
    </w:p>
    <w:p>
      <w:pPr>
        <w:pStyle w:val="4"/>
        <w:widowControl/>
        <w:spacing w:before="226" w:after="226" w:line="420" w:lineRule="atLeast"/>
        <w:ind w:firstLine="420"/>
        <w:jc w:val="both"/>
      </w:pPr>
      <w:r>
        <w:rPr>
          <w:rFonts w:hint="eastAsia" w:ascii="楷体" w:hAnsi="楷体" w:eastAsia="楷体" w:cs="楷体"/>
        </w:rPr>
        <w:t>(二)财政拨款支出决算具体情况。</w:t>
      </w:r>
    </w:p>
    <w:p>
      <w:pPr>
        <w:pStyle w:val="4"/>
        <w:widowControl/>
        <w:spacing w:before="226" w:after="226" w:line="420" w:lineRule="atLeast"/>
        <w:ind w:left="420"/>
        <w:jc w:val="both"/>
        <w:rPr>
          <w:rFonts w:cs="宋体" w:asciiTheme="minorEastAsia" w:hAnsiTheme="minorEastAsia"/>
        </w:rPr>
      </w:pPr>
      <w:r>
        <w:rPr>
          <w:rFonts w:hint="eastAsia" w:cs="宋体" w:asciiTheme="minorEastAsia" w:hAnsiTheme="minorEastAsia"/>
        </w:rPr>
        <w:t>2018年度财政拨款支出</w:t>
      </w:r>
      <w:r>
        <w:rPr>
          <w:rFonts w:hint="eastAsia" w:cs="宋体" w:asciiTheme="minorEastAsia" w:hAnsiTheme="minorEastAsia"/>
          <w:lang w:val="en-US" w:eastAsia="zh-CN"/>
        </w:rPr>
        <w:t>844.88</w:t>
      </w:r>
      <w:r>
        <w:rPr>
          <w:rFonts w:hint="eastAsia" w:cs="宋体" w:asciiTheme="minorEastAsia" w:hAnsiTheme="minorEastAsia"/>
        </w:rPr>
        <w:t>万元。其中:工资福利支出</w:t>
      </w:r>
      <w:r>
        <w:rPr>
          <w:rFonts w:hint="eastAsia" w:cs="宋体" w:asciiTheme="minorEastAsia" w:hAnsiTheme="minorEastAsia"/>
          <w:lang w:val="en-US" w:eastAsia="zh-CN"/>
        </w:rPr>
        <w:t>757.10</w:t>
      </w:r>
      <w:r>
        <w:rPr>
          <w:rFonts w:hint="eastAsia" w:cs="宋体" w:asciiTheme="minorEastAsia" w:hAnsiTheme="minorEastAsia"/>
        </w:rPr>
        <w:t>万元；财商品和服务支出</w:t>
      </w:r>
      <w:r>
        <w:rPr>
          <w:rFonts w:hint="eastAsia" w:cs="宋体" w:asciiTheme="minorEastAsia" w:hAnsiTheme="minorEastAsia"/>
          <w:lang w:val="en-US" w:eastAsia="zh-CN"/>
        </w:rPr>
        <w:t>65.71</w:t>
      </w:r>
      <w:r>
        <w:rPr>
          <w:rFonts w:hint="eastAsia" w:cs="宋体" w:asciiTheme="minorEastAsia" w:hAnsiTheme="minorEastAsia"/>
        </w:rPr>
        <w:t>万元。</w:t>
      </w:r>
    </w:p>
    <w:p>
      <w:pPr>
        <w:pStyle w:val="4"/>
        <w:widowControl/>
        <w:spacing w:before="226" w:after="226" w:line="420" w:lineRule="atLeast"/>
        <w:ind w:left="420"/>
        <w:jc w:val="both"/>
      </w:pPr>
      <w:r>
        <w:rPr>
          <w:rFonts w:hint="eastAsia" w:ascii="黑体" w:hAnsi="宋体" w:eastAsia="黑体" w:cs="黑体"/>
        </w:rPr>
        <w:t>五、2018年度“三公”及相关经费预决算情况说明</w:t>
      </w:r>
    </w:p>
    <w:p>
      <w:pPr>
        <w:pStyle w:val="4"/>
        <w:widowControl/>
        <w:spacing w:before="226" w:after="226" w:line="420" w:lineRule="atLeast"/>
        <w:jc w:val="center"/>
        <w:rPr>
          <w:rFonts w:asciiTheme="minorEastAsia" w:hAnsiTheme="minorEastAsia"/>
        </w:rPr>
      </w:pPr>
      <w:r>
        <w:rPr>
          <w:rFonts w:hint="eastAsia" w:cs="宋体" w:asciiTheme="minorEastAsia" w:hAnsiTheme="minorEastAsia"/>
        </w:rPr>
        <w:t>尼玛县</w:t>
      </w:r>
      <w:r>
        <w:rPr>
          <w:rFonts w:hint="eastAsia" w:cs="宋体" w:asciiTheme="minorEastAsia" w:hAnsiTheme="minorEastAsia"/>
          <w:lang w:eastAsia="zh-CN"/>
        </w:rPr>
        <w:t>卓尼乡</w:t>
      </w:r>
      <w:r>
        <w:rPr>
          <w:rFonts w:hint="eastAsia" w:cs="宋体" w:asciiTheme="minorEastAsia" w:hAnsiTheme="minorEastAsia"/>
        </w:rPr>
        <w:t>2018年“三公”及相关经费情况表</w:t>
      </w:r>
    </w:p>
    <w:p>
      <w:pPr>
        <w:pStyle w:val="4"/>
        <w:widowControl/>
        <w:spacing w:before="226" w:after="226" w:line="420" w:lineRule="atLeast"/>
        <w:ind w:firstLine="420"/>
        <w:jc w:val="both"/>
        <w:rPr>
          <w:rFonts w:asciiTheme="minorEastAsia" w:hAnsiTheme="minorEastAsia"/>
        </w:rPr>
      </w:pPr>
      <w:r>
        <w:rPr>
          <w:rFonts w:hint="eastAsia" w:cs="宋体" w:asciiTheme="minorEastAsia" w:hAnsiTheme="minorEastAsia"/>
        </w:rPr>
        <w:t>                                                                       单位:万元</w:t>
      </w:r>
    </w:p>
    <w:tbl>
      <w:tblPr>
        <w:tblStyle w:val="5"/>
        <w:tblW w:w="9300" w:type="dxa"/>
        <w:jc w:val="center"/>
        <w:tblCellSpacing w:w="0" w:type="dxa"/>
        <w:tblInd w:w="0" w:type="dxa"/>
        <w:tblLayout w:type="fixed"/>
        <w:tblCellMar>
          <w:top w:w="15" w:type="dxa"/>
          <w:left w:w="15" w:type="dxa"/>
          <w:bottom w:w="15" w:type="dxa"/>
          <w:right w:w="15" w:type="dxa"/>
        </w:tblCellMar>
      </w:tblPr>
      <w:tblGrid>
        <w:gridCol w:w="4308"/>
        <w:gridCol w:w="1858"/>
        <w:gridCol w:w="1425"/>
        <w:gridCol w:w="1709"/>
      </w:tblGrid>
      <w:tr>
        <w:tblPrEx>
          <w:tblLayout w:type="fixed"/>
          <w:tblCellMar>
            <w:top w:w="15" w:type="dxa"/>
            <w:left w:w="15" w:type="dxa"/>
            <w:bottom w:w="15" w:type="dxa"/>
            <w:right w:w="15" w:type="dxa"/>
          </w:tblCellMar>
        </w:tblPrEx>
        <w:trPr>
          <w:trHeight w:val="73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项  目</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预算数</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决算数</w:t>
            </w: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备注</w:t>
            </w:r>
          </w:p>
        </w:tc>
      </w:tr>
      <w:tr>
        <w:tblPrEx>
          <w:tblLayout w:type="fixed"/>
          <w:tblCellMar>
            <w:top w:w="15" w:type="dxa"/>
            <w:left w:w="15" w:type="dxa"/>
            <w:bottom w:w="15" w:type="dxa"/>
            <w:right w:w="15" w:type="dxa"/>
          </w:tblCellMar>
        </w:tblPrEx>
        <w:trPr>
          <w:trHeight w:val="69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合  计</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hint="default" w:asciiTheme="minorEastAsia" w:hAnsiTheme="minorEastAsia" w:eastAsiaTheme="minorEastAsia"/>
                <w:lang w:val="en-US" w:eastAsia="zh-CN"/>
              </w:rPr>
            </w:pPr>
            <w:r>
              <w:rPr>
                <w:rFonts w:hint="eastAsia" w:asciiTheme="minorEastAsia" w:hAnsiTheme="minorEastAsia"/>
                <w:color w:val="FF0000"/>
              </w:rPr>
              <w:t>1</w:t>
            </w:r>
            <w:r>
              <w:rPr>
                <w:rFonts w:hint="eastAsia" w:asciiTheme="minorEastAsia" w:hAnsiTheme="minorEastAsia"/>
                <w:color w:val="FF0000"/>
                <w:lang w:val="en-US" w:eastAsia="zh-CN"/>
              </w:rPr>
              <w:t>5.58</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hint="eastAsia" w:asciiTheme="minorEastAsia" w:hAnsiTheme="minorEastAsia" w:eastAsiaTheme="minorEastAsia"/>
                <w:lang w:val="en-US" w:eastAsia="zh-CN"/>
              </w:rPr>
            </w:pPr>
            <w:r>
              <w:rPr>
                <w:rFonts w:hint="eastAsia" w:asciiTheme="minorEastAsia" w:hAnsiTheme="minorEastAsia"/>
                <w:lang w:val="en-US" w:eastAsia="zh-CN"/>
              </w:rPr>
              <w:t>15.5</w:t>
            </w: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cs="宋体" w:asciiTheme="minorEastAsia" w:hAnsiTheme="minorEastAsia"/>
                <w:szCs w:val="21"/>
              </w:rPr>
            </w:pPr>
          </w:p>
        </w:tc>
      </w:tr>
      <w:tr>
        <w:tblPrEx>
          <w:tblLayout w:type="fixed"/>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1.因公出国(境)费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cs="宋体" w:asciiTheme="minorEastAsia" w:hAnsiTheme="minorEastAsia"/>
                <w:szCs w:val="21"/>
              </w:rPr>
            </w:pP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asciiTheme="minorEastAsia" w:hAnsiTheme="minorEastAsia"/>
              </w:rPr>
            </w:pP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cs="宋体" w:asciiTheme="minorEastAsia" w:hAnsiTheme="minorEastAsia"/>
                <w:szCs w:val="21"/>
              </w:rPr>
            </w:pPr>
          </w:p>
        </w:tc>
      </w:tr>
      <w:tr>
        <w:tblPrEx>
          <w:tblLayout w:type="fixed"/>
          <w:tblCellMar>
            <w:top w:w="15" w:type="dxa"/>
            <w:left w:w="15" w:type="dxa"/>
            <w:bottom w:w="15" w:type="dxa"/>
            <w:right w:w="15" w:type="dxa"/>
          </w:tblCellMar>
        </w:tblPrEx>
        <w:trPr>
          <w:trHeight w:val="58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2.公务接待费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asciiTheme="minorEastAsia" w:hAnsiTheme="minorEastAsia"/>
              </w:rPr>
            </w:pP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asciiTheme="minorEastAsia" w:hAnsiTheme="minorEastAsia"/>
              </w:rPr>
            </w:pP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cs="宋体" w:asciiTheme="minorEastAsia" w:hAnsiTheme="minorEastAsia"/>
                <w:szCs w:val="21"/>
              </w:rPr>
            </w:pPr>
          </w:p>
        </w:tc>
      </w:tr>
      <w:tr>
        <w:tblPrEx>
          <w:tblLayout w:type="fixed"/>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3.公务用车经费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jc w:val="center"/>
              <w:rPr>
                <w:rFonts w:hint="default" w:asciiTheme="minorEastAsia" w:hAnsiTheme="minorEastAsia" w:eastAsiaTheme="minorEastAsia"/>
                <w:lang w:val="en-US" w:eastAsia="zh-CN"/>
              </w:rPr>
            </w:pPr>
            <w:r>
              <w:rPr>
                <w:rFonts w:hint="eastAsia" w:asciiTheme="minorEastAsia" w:hAnsiTheme="minorEastAsia"/>
              </w:rPr>
              <w:t>1</w:t>
            </w:r>
            <w:r>
              <w:rPr>
                <w:rFonts w:hint="eastAsia" w:asciiTheme="minorEastAsia" w:hAnsiTheme="minorEastAsia"/>
                <w:lang w:val="en-US" w:eastAsia="zh-CN"/>
              </w:rPr>
              <w:t>5.58</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hint="eastAsia" w:asciiTheme="minorEastAsia" w:hAnsiTheme="minorEastAsia" w:eastAsiaTheme="minorEastAsia"/>
                <w:lang w:val="en-US" w:eastAsia="zh-CN"/>
              </w:rPr>
            </w:pPr>
            <w:r>
              <w:rPr>
                <w:rFonts w:hint="eastAsia" w:asciiTheme="minorEastAsia" w:hAnsiTheme="minorEastAsia"/>
                <w:lang w:val="en-US" w:eastAsia="zh-CN"/>
              </w:rPr>
              <w:t>15.5</w:t>
            </w: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cs="宋体" w:asciiTheme="minorEastAsia" w:hAnsiTheme="minorEastAsia"/>
                <w:szCs w:val="21"/>
              </w:rPr>
            </w:pPr>
          </w:p>
        </w:tc>
      </w:tr>
      <w:tr>
        <w:tblPrEx>
          <w:tblLayout w:type="fixed"/>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其中:(1)公务用车运行维护费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rPr>
                <w:rFonts w:hint="default" w:asciiTheme="minorEastAsia" w:hAnsiTheme="minorEastAsia" w:eastAsiaTheme="minorEastAsia"/>
                <w:lang w:val="en-US" w:eastAsia="zh-CN"/>
              </w:rPr>
            </w:pPr>
            <w:r>
              <w:rPr>
                <w:rFonts w:hint="eastAsia" w:asciiTheme="minorEastAsia" w:hAnsiTheme="minorEastAsia"/>
              </w:rPr>
              <w:t xml:space="preserve">     1</w:t>
            </w:r>
            <w:r>
              <w:rPr>
                <w:rFonts w:hint="eastAsia" w:asciiTheme="minorEastAsia" w:hAnsiTheme="minorEastAsia"/>
                <w:lang w:val="en-US" w:eastAsia="zh-CN"/>
              </w:rPr>
              <w:t>5.58</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hint="eastAsia" w:asciiTheme="minorEastAsia" w:hAnsiTheme="minorEastAsia" w:eastAsiaTheme="minorEastAsia"/>
                <w:lang w:val="en-US" w:eastAsia="zh-CN"/>
              </w:rPr>
            </w:pPr>
            <w:r>
              <w:rPr>
                <w:rFonts w:hint="eastAsia" w:asciiTheme="minorEastAsia" w:hAnsiTheme="minorEastAsia"/>
                <w:lang w:val="en-US" w:eastAsia="zh-CN"/>
              </w:rPr>
              <w:t>15.5</w:t>
            </w: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cs="宋体" w:asciiTheme="minorEastAsia" w:hAnsiTheme="minorEastAsia"/>
                <w:szCs w:val="21"/>
              </w:rPr>
            </w:pPr>
          </w:p>
        </w:tc>
      </w:tr>
      <w:tr>
        <w:tblPrEx>
          <w:tblLayout w:type="fixed"/>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4"/>
              <w:widowControl/>
              <w:spacing w:before="225" w:after="225" w:line="420" w:lineRule="atLeast"/>
              <w:ind w:firstLine="420"/>
              <w:jc w:val="both"/>
              <w:rPr>
                <w:rFonts w:asciiTheme="minorEastAsia" w:hAnsiTheme="minorEastAsia"/>
              </w:rPr>
            </w:pPr>
            <w:r>
              <w:rPr>
                <w:rFonts w:hint="eastAsia" w:cs="宋体" w:asciiTheme="minorEastAsia" w:hAnsiTheme="minorEastAsia"/>
              </w:rPr>
              <w:t>     (2)公务用车购置费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rPr>
                <w:rFonts w:cs="宋体" w:asciiTheme="minorEastAsia" w:hAnsiTheme="minorEastAsia"/>
                <w:szCs w:val="21"/>
              </w:rPr>
            </w:pP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spacing w:before="225" w:after="225" w:line="420" w:lineRule="atLeast"/>
              <w:ind w:firstLine="420"/>
              <w:jc w:val="center"/>
              <w:rPr>
                <w:rFonts w:asciiTheme="minorEastAsia" w:hAnsiTheme="minorEastAsia"/>
              </w:rPr>
            </w:pPr>
          </w:p>
        </w:tc>
        <w:tc>
          <w:tcPr>
            <w:tcW w:w="1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cs="宋体" w:asciiTheme="minorEastAsia" w:hAnsiTheme="minorEastAsia"/>
                <w:szCs w:val="21"/>
              </w:rPr>
            </w:pPr>
          </w:p>
        </w:tc>
      </w:tr>
    </w:tbl>
    <w:p>
      <w:pPr>
        <w:pStyle w:val="4"/>
        <w:widowControl/>
        <w:spacing w:before="226" w:after="226" w:line="420" w:lineRule="atLeast"/>
        <w:ind w:firstLine="420"/>
        <w:jc w:val="both"/>
        <w:rPr>
          <w:rFonts w:asciiTheme="minorEastAsia" w:hAnsiTheme="minorEastAsia"/>
        </w:rPr>
      </w:pPr>
      <w:r>
        <w:rPr>
          <w:rFonts w:hint="eastAsia" w:cs="宋体" w:asciiTheme="minorEastAsia" w:hAnsiTheme="minorEastAsia"/>
        </w:rPr>
        <w:t>2018年度“三公”经费支出1</w:t>
      </w:r>
      <w:r>
        <w:rPr>
          <w:rFonts w:hint="eastAsia" w:cs="宋体" w:asciiTheme="minorEastAsia" w:hAnsiTheme="minorEastAsia"/>
          <w:lang w:val="en-US" w:eastAsia="zh-CN"/>
        </w:rPr>
        <w:t>5.5</w:t>
      </w:r>
      <w:r>
        <w:rPr>
          <w:rFonts w:hint="eastAsia" w:cs="宋体" w:asciiTheme="minorEastAsia" w:hAnsiTheme="minorEastAsia"/>
        </w:rPr>
        <w:t>万元,具体如下:</w:t>
      </w:r>
    </w:p>
    <w:p>
      <w:pPr>
        <w:pStyle w:val="4"/>
        <w:widowControl/>
        <w:spacing w:before="226" w:after="226" w:line="420" w:lineRule="atLeast"/>
        <w:ind w:left="420" w:firstLine="480" w:firstLineChars="200"/>
        <w:jc w:val="both"/>
        <w:rPr>
          <w:rFonts w:cs="宋体" w:asciiTheme="minorEastAsia" w:hAnsiTheme="minorEastAsia"/>
        </w:rPr>
      </w:pPr>
      <w:r>
        <w:rPr>
          <w:rFonts w:hint="eastAsia" w:cs="宋体" w:asciiTheme="minorEastAsia" w:hAnsiTheme="minorEastAsia"/>
        </w:rPr>
        <w:t>1.因公出国(境)费0万元。2.公务接待费0万元。3.公务用车经费1</w:t>
      </w:r>
      <w:r>
        <w:rPr>
          <w:rFonts w:hint="eastAsia" w:cs="宋体" w:asciiTheme="minorEastAsia" w:hAnsiTheme="minorEastAsia"/>
          <w:lang w:val="en-US" w:eastAsia="zh-CN"/>
        </w:rPr>
        <w:t>5.5</w:t>
      </w:r>
      <w:r>
        <w:rPr>
          <w:rFonts w:hint="eastAsia" w:cs="宋体" w:asciiTheme="minorEastAsia" w:hAnsiTheme="minorEastAsia"/>
        </w:rPr>
        <w:t>万元，其中公务用车运行维护费15.</w:t>
      </w:r>
      <w:r>
        <w:rPr>
          <w:rFonts w:hint="eastAsia" w:cs="宋体" w:asciiTheme="minorEastAsia" w:hAnsiTheme="minorEastAsia"/>
          <w:lang w:val="en-US" w:eastAsia="zh-CN"/>
        </w:rPr>
        <w:t>5</w:t>
      </w:r>
      <w:r>
        <w:rPr>
          <w:rFonts w:hint="eastAsia" w:cs="宋体" w:asciiTheme="minorEastAsia" w:hAnsiTheme="minorEastAsia"/>
        </w:rPr>
        <w:t>万元，均为公务用车运行支出,主要用于因公出行、各村监督检查、扶贫调研、入村宣传宣讲等业务所需的车辆燃料费、维修费、保险费等支出。</w:t>
      </w:r>
    </w:p>
    <w:p>
      <w:pPr>
        <w:pStyle w:val="4"/>
        <w:widowControl/>
        <w:spacing w:before="226" w:after="226" w:line="420" w:lineRule="atLeast"/>
        <w:ind w:left="420"/>
        <w:jc w:val="both"/>
      </w:pPr>
      <w:r>
        <w:rPr>
          <w:rFonts w:hint="eastAsia" w:ascii="黑体" w:hAnsi="宋体" w:eastAsia="黑体" w:cs="黑体"/>
        </w:rPr>
        <w:t>六、2018年度机关运行情况说明</w:t>
      </w:r>
    </w:p>
    <w:p>
      <w:pPr>
        <w:pStyle w:val="4"/>
        <w:widowControl/>
        <w:spacing w:before="226" w:after="226" w:line="420" w:lineRule="atLeast"/>
        <w:ind w:firstLine="420"/>
        <w:jc w:val="both"/>
        <w:rPr>
          <w:rFonts w:asciiTheme="minorEastAsia" w:hAnsiTheme="minorEastAsia"/>
        </w:rPr>
      </w:pPr>
      <w:r>
        <w:rPr>
          <w:rFonts w:hint="eastAsia" w:cs="宋体" w:asciiTheme="minorEastAsia" w:hAnsiTheme="minorEastAsia"/>
        </w:rPr>
        <w:t>(一)2018年度尼玛县</w:t>
      </w:r>
      <w:r>
        <w:rPr>
          <w:rFonts w:hint="eastAsia" w:cs="宋体" w:asciiTheme="minorEastAsia" w:hAnsiTheme="minorEastAsia"/>
          <w:lang w:eastAsia="zh-CN"/>
        </w:rPr>
        <w:t>卓尼乡</w:t>
      </w:r>
      <w:r>
        <w:rPr>
          <w:rFonts w:hint="eastAsia" w:cs="宋体" w:asciiTheme="minorEastAsia" w:hAnsiTheme="minorEastAsia"/>
        </w:rPr>
        <w:t>机关运行经费支出</w:t>
      </w:r>
      <w:r>
        <w:rPr>
          <w:rFonts w:hint="eastAsia" w:cs="宋体" w:asciiTheme="minorEastAsia" w:hAnsiTheme="minorEastAsia"/>
          <w:lang w:val="en-US" w:eastAsia="zh-CN"/>
        </w:rPr>
        <w:t>844.88</w:t>
      </w:r>
      <w:r>
        <w:rPr>
          <w:rFonts w:hint="eastAsia" w:cs="宋体" w:asciiTheme="minorEastAsia" w:hAnsiTheme="minorEastAsia"/>
        </w:rPr>
        <w:t xml:space="preserve">万元。其中: </w:t>
      </w:r>
      <w:r>
        <w:rPr>
          <w:rFonts w:hint="eastAsia" w:cs="宋体" w:asciiTheme="minorEastAsia" w:hAnsiTheme="minorEastAsia"/>
          <w:lang w:eastAsia="zh-CN"/>
        </w:rPr>
        <w:t>卓尼乡</w:t>
      </w:r>
      <w:r>
        <w:rPr>
          <w:rFonts w:hint="eastAsia" w:cs="宋体" w:asciiTheme="minorEastAsia" w:hAnsiTheme="minorEastAsia"/>
        </w:rPr>
        <w:t>机关工资福利支出</w:t>
      </w:r>
      <w:r>
        <w:rPr>
          <w:rFonts w:hint="eastAsia" w:cs="宋体" w:asciiTheme="minorEastAsia" w:hAnsiTheme="minorEastAsia"/>
          <w:lang w:val="en-US" w:eastAsia="zh-CN"/>
        </w:rPr>
        <w:t>757.10</w:t>
      </w:r>
      <w:r>
        <w:rPr>
          <w:rFonts w:hint="eastAsia" w:cs="宋体" w:asciiTheme="minorEastAsia" w:hAnsiTheme="minorEastAsia"/>
        </w:rPr>
        <w:t>万元；</w:t>
      </w:r>
      <w:r>
        <w:rPr>
          <w:rFonts w:hint="eastAsia" w:cs="宋体" w:asciiTheme="minorEastAsia" w:hAnsiTheme="minorEastAsia"/>
          <w:lang w:eastAsia="zh-CN"/>
        </w:rPr>
        <w:t>卓尼乡</w:t>
      </w:r>
      <w:r>
        <w:rPr>
          <w:rFonts w:hint="eastAsia" w:cs="宋体" w:asciiTheme="minorEastAsia" w:hAnsiTheme="minorEastAsia"/>
        </w:rPr>
        <w:t>机关商品和服务支出</w:t>
      </w:r>
      <w:r>
        <w:rPr>
          <w:rFonts w:hint="eastAsia" w:cs="宋体" w:asciiTheme="minorEastAsia" w:hAnsiTheme="minorEastAsia"/>
          <w:lang w:val="en-US" w:eastAsia="zh-CN"/>
        </w:rPr>
        <w:t>65.71</w:t>
      </w:r>
      <w:r>
        <w:rPr>
          <w:rFonts w:hint="eastAsia" w:cs="宋体" w:asciiTheme="minorEastAsia" w:hAnsiTheme="minorEastAsia"/>
        </w:rPr>
        <w:t>万元。</w:t>
      </w:r>
    </w:p>
    <w:p>
      <w:pPr>
        <w:pStyle w:val="4"/>
        <w:widowControl/>
        <w:spacing w:before="226" w:after="226" w:line="420" w:lineRule="atLeast"/>
        <w:ind w:firstLine="420"/>
        <w:jc w:val="both"/>
      </w:pPr>
      <w:r>
        <w:rPr>
          <w:rFonts w:hint="eastAsia" w:ascii="宋体" w:hAnsi="宋体" w:cs="宋体"/>
        </w:rPr>
        <w:t>(二)机关运行经费预算的内容。</w:t>
      </w:r>
    </w:p>
    <w:p>
      <w:pPr>
        <w:pStyle w:val="4"/>
        <w:widowControl/>
        <w:spacing w:before="226" w:after="226" w:line="420" w:lineRule="atLeast"/>
        <w:ind w:firstLine="420"/>
        <w:jc w:val="both"/>
        <w:rPr>
          <w:rFonts w:asciiTheme="minorEastAsia" w:hAnsiTheme="minorEastAsia"/>
        </w:rPr>
      </w:pPr>
      <w:r>
        <w:rPr>
          <w:rFonts w:hint="eastAsia" w:cs="宋体" w:asciiTheme="minorEastAsia" w:hAnsiTheme="minorEastAsia"/>
        </w:rPr>
        <w:t>2018年度尼玛县</w:t>
      </w:r>
      <w:r>
        <w:rPr>
          <w:rFonts w:hint="eastAsia" w:cs="宋体" w:asciiTheme="minorEastAsia" w:hAnsiTheme="minorEastAsia"/>
          <w:lang w:eastAsia="zh-CN"/>
        </w:rPr>
        <w:t>卓尼乡</w:t>
      </w:r>
      <w:r>
        <w:rPr>
          <w:rFonts w:hint="eastAsia" w:cs="宋体" w:asciiTheme="minorEastAsia" w:hAnsiTheme="minorEastAsia"/>
        </w:rPr>
        <w:t>机关运行经费支出</w:t>
      </w:r>
      <w:r>
        <w:rPr>
          <w:rFonts w:hint="eastAsia" w:cs="宋体" w:asciiTheme="minorEastAsia" w:hAnsiTheme="minorEastAsia"/>
          <w:lang w:val="en-US" w:eastAsia="zh-CN"/>
        </w:rPr>
        <w:t>844.88</w:t>
      </w:r>
      <w:r>
        <w:rPr>
          <w:rFonts w:hint="eastAsia" w:cs="宋体" w:asciiTheme="minorEastAsia" w:hAnsiTheme="minorEastAsia"/>
        </w:rPr>
        <w:t xml:space="preserve">万元。其中: </w:t>
      </w:r>
      <w:r>
        <w:rPr>
          <w:rFonts w:hint="eastAsia" w:cs="宋体" w:asciiTheme="minorEastAsia" w:hAnsiTheme="minorEastAsia"/>
          <w:lang w:eastAsia="zh-CN"/>
        </w:rPr>
        <w:t>卓尼乡</w:t>
      </w:r>
      <w:r>
        <w:rPr>
          <w:rFonts w:hint="eastAsia" w:cs="宋体" w:asciiTheme="minorEastAsia" w:hAnsiTheme="minorEastAsia"/>
        </w:rPr>
        <w:t>机关工资福利支出</w:t>
      </w:r>
      <w:r>
        <w:rPr>
          <w:rFonts w:hint="eastAsia" w:cs="宋体" w:asciiTheme="minorEastAsia" w:hAnsiTheme="minorEastAsia"/>
          <w:lang w:val="en-US" w:eastAsia="zh-CN"/>
        </w:rPr>
        <w:t>757.10</w:t>
      </w:r>
      <w:r>
        <w:rPr>
          <w:rFonts w:hint="eastAsia" w:cs="宋体" w:asciiTheme="minorEastAsia" w:hAnsiTheme="minorEastAsia"/>
        </w:rPr>
        <w:t>万元,主要包括基本工资、津贴补贴、奖金、伙食补助费、其他社会保障缴费、机关事业单位基本养老保险缴费、生活补助、医疗费、住房补贴、住房公积金、其他工资福利支出、其他对个人和家庭的补助支出等;</w:t>
      </w:r>
      <w:r>
        <w:rPr>
          <w:rFonts w:hint="eastAsia" w:cs="宋体" w:asciiTheme="minorEastAsia" w:hAnsiTheme="minorEastAsia"/>
          <w:lang w:eastAsia="zh-CN"/>
        </w:rPr>
        <w:t>尼玛县卓尼</w:t>
      </w:r>
      <w:r>
        <w:rPr>
          <w:rFonts w:hint="eastAsia" w:cs="宋体" w:asciiTheme="minorEastAsia" w:hAnsiTheme="minorEastAsia"/>
        </w:rPr>
        <w:t>机关商品和服务支出</w:t>
      </w:r>
      <w:r>
        <w:rPr>
          <w:rFonts w:hint="eastAsia" w:cs="宋体" w:asciiTheme="minorEastAsia" w:hAnsiTheme="minorEastAsia"/>
          <w:lang w:val="en-US" w:eastAsia="zh-CN"/>
        </w:rPr>
        <w:t>65.71</w:t>
      </w:r>
      <w:r>
        <w:rPr>
          <w:rFonts w:hint="eastAsia" w:cs="宋体" w:asciiTheme="minorEastAsia" w:hAnsiTheme="minorEastAsia"/>
        </w:rPr>
        <w:t>万元,主要包括办公费、印刷费、水费、电费、邮电费、取暖费、差旅费、维修(护)费、会议费、培训费、公务接待费、工会经费、福利费、公务用车运行维护费、其他交通费、其他商品和服务支出等。</w:t>
      </w:r>
    </w:p>
    <w:p>
      <w:pPr>
        <w:pStyle w:val="4"/>
        <w:widowControl/>
        <w:spacing w:before="226" w:after="226" w:line="420" w:lineRule="atLeast"/>
        <w:ind w:firstLine="420"/>
        <w:jc w:val="both"/>
      </w:pPr>
      <w:r>
        <w:rPr>
          <w:rFonts w:hint="eastAsia" w:ascii="黑体" w:hAnsi="宋体" w:eastAsia="黑体" w:cs="黑体"/>
        </w:rPr>
        <w:t>七、政府采购情况说明</w:t>
      </w:r>
    </w:p>
    <w:p>
      <w:pPr>
        <w:pStyle w:val="4"/>
        <w:widowControl/>
        <w:spacing w:before="226" w:after="226" w:line="420" w:lineRule="atLeast"/>
        <w:ind w:firstLine="420"/>
        <w:jc w:val="both"/>
        <w:rPr>
          <w:rFonts w:ascii="宋体" w:hAnsi="宋体" w:cs="宋体"/>
        </w:rPr>
      </w:pPr>
      <w:r>
        <w:rPr>
          <w:rFonts w:hint="eastAsia" w:ascii="宋体" w:hAnsi="宋体" w:cs="宋体"/>
        </w:rPr>
        <w:t>尼玛县</w:t>
      </w:r>
      <w:r>
        <w:rPr>
          <w:rFonts w:hint="eastAsia" w:ascii="宋体" w:hAnsi="宋体" w:cs="宋体"/>
          <w:lang w:eastAsia="zh-CN"/>
        </w:rPr>
        <w:t>卓尼乡</w:t>
      </w:r>
      <w:r>
        <w:rPr>
          <w:rFonts w:hint="eastAsia" w:ascii="宋体" w:hAnsi="宋体" w:cs="宋体"/>
          <w:lang w:val="en-US" w:eastAsia="zh-CN"/>
        </w:rPr>
        <w:t>2</w:t>
      </w:r>
      <w:r>
        <w:rPr>
          <w:rFonts w:hint="eastAsia" w:ascii="宋体" w:hAnsi="宋体" w:cs="宋体"/>
        </w:rPr>
        <w:t>018年度未安排专项政府采购预算。</w:t>
      </w:r>
    </w:p>
    <w:p>
      <w:pPr>
        <w:pStyle w:val="4"/>
        <w:widowControl/>
        <w:spacing w:before="226" w:after="226" w:line="420" w:lineRule="atLeast"/>
        <w:ind w:firstLine="420"/>
        <w:jc w:val="both"/>
      </w:pPr>
      <w:r>
        <w:rPr>
          <w:rFonts w:hint="eastAsia" w:ascii="黑体" w:hAnsi="宋体" w:eastAsia="黑体" w:cs="黑体"/>
        </w:rPr>
        <w:t>八、国有资产占有使用情况</w:t>
      </w:r>
    </w:p>
    <w:p>
      <w:pPr>
        <w:pStyle w:val="4"/>
        <w:widowControl/>
        <w:spacing w:before="226" w:after="226" w:line="420" w:lineRule="atLeast"/>
        <w:ind w:firstLine="420"/>
        <w:jc w:val="both"/>
        <w:rPr>
          <w:rFonts w:ascii="宋体" w:hAnsi="宋体" w:cs="宋体"/>
        </w:rPr>
      </w:pPr>
      <w:r>
        <w:rPr>
          <w:rFonts w:hint="eastAsia" w:ascii="宋体" w:hAnsi="宋体" w:cs="宋体"/>
        </w:rPr>
        <w:t>截至2018年12月31日，国有资产总值</w:t>
      </w:r>
      <w:r>
        <w:rPr>
          <w:rFonts w:hint="eastAsia" w:ascii="宋体" w:hAnsi="宋体" w:cs="宋体"/>
          <w:lang w:val="en-US" w:eastAsia="zh-CN"/>
        </w:rPr>
        <w:t>1945.32</w:t>
      </w:r>
      <w:r>
        <w:rPr>
          <w:rFonts w:hint="eastAsia" w:ascii="宋体" w:hAnsi="宋体" w:cs="宋体"/>
        </w:rPr>
        <w:t>万元，其中：流动资产</w:t>
      </w:r>
      <w:r>
        <w:rPr>
          <w:rFonts w:hint="eastAsia" w:ascii="宋体" w:hAnsi="宋体" w:cs="宋体"/>
          <w:lang w:val="en-US" w:eastAsia="zh-CN"/>
        </w:rPr>
        <w:t>22.08</w:t>
      </w:r>
      <w:r>
        <w:rPr>
          <w:rFonts w:hint="eastAsia" w:ascii="宋体" w:hAnsi="宋体" w:cs="宋体"/>
        </w:rPr>
        <w:t>万元，</w:t>
      </w:r>
      <w:bookmarkStart w:id="0" w:name="_GoBack"/>
      <w:bookmarkEnd w:id="0"/>
      <w:r>
        <w:rPr>
          <w:rFonts w:hint="eastAsia" w:ascii="宋体" w:hAnsi="宋体" w:cs="宋体"/>
        </w:rPr>
        <w:t>固定资产</w:t>
      </w:r>
      <w:r>
        <w:rPr>
          <w:rFonts w:hint="eastAsia" w:ascii="宋体" w:hAnsi="宋体" w:cs="宋体"/>
          <w:lang w:val="en-US" w:eastAsia="zh-CN"/>
        </w:rPr>
        <w:t>1923.24</w:t>
      </w:r>
      <w:r>
        <w:rPr>
          <w:rFonts w:hint="eastAsia" w:ascii="宋体" w:hAnsi="宋体" w:cs="宋体"/>
        </w:rPr>
        <w:t>万元。</w:t>
      </w:r>
    </w:p>
    <w:p>
      <w:pPr>
        <w:pStyle w:val="4"/>
        <w:widowControl/>
        <w:spacing w:before="226" w:after="226" w:line="420" w:lineRule="atLeast"/>
        <w:ind w:firstLine="420"/>
        <w:jc w:val="both"/>
        <w:rPr>
          <w:rFonts w:ascii="宋体" w:hAnsi="宋体" w:cs="宋体"/>
        </w:rPr>
      </w:pPr>
      <w:r>
        <w:rPr>
          <w:rFonts w:hint="eastAsia" w:ascii="宋体" w:hAnsi="宋体" w:cs="宋体"/>
        </w:rPr>
        <w:t>固定资产中：房屋</w:t>
      </w:r>
      <w:r>
        <w:rPr>
          <w:rFonts w:hint="eastAsia" w:ascii="宋体" w:hAnsi="宋体" w:cs="宋体"/>
          <w:lang w:val="en-US" w:eastAsia="zh-CN"/>
        </w:rPr>
        <w:t>248071.58</w:t>
      </w:r>
      <w:r>
        <w:rPr>
          <w:rFonts w:hint="eastAsia" w:ascii="宋体" w:hAnsi="宋体" w:cs="宋体"/>
        </w:rPr>
        <w:t>平方米，账面价值</w:t>
      </w:r>
      <w:r>
        <w:rPr>
          <w:rFonts w:hint="eastAsia" w:ascii="宋体" w:hAnsi="宋体" w:cs="宋体"/>
          <w:lang w:val="en-US" w:eastAsia="zh-CN"/>
        </w:rPr>
        <w:t>1638.55</w:t>
      </w:r>
      <w:r>
        <w:rPr>
          <w:rFonts w:hint="eastAsia" w:ascii="宋体" w:hAnsi="宋体" w:cs="宋体"/>
        </w:rPr>
        <w:t>万元；车辆</w:t>
      </w:r>
      <w:r>
        <w:rPr>
          <w:rFonts w:hint="eastAsia" w:ascii="宋体" w:hAnsi="宋体" w:cs="宋体"/>
          <w:lang w:val="en-US" w:eastAsia="zh-CN"/>
        </w:rPr>
        <w:t>8</w:t>
      </w:r>
      <w:r>
        <w:rPr>
          <w:rFonts w:hint="eastAsia" w:ascii="宋体" w:hAnsi="宋体" w:cs="宋体"/>
        </w:rPr>
        <w:t>辆，账面价值</w:t>
      </w:r>
      <w:r>
        <w:rPr>
          <w:rFonts w:hint="eastAsia" w:ascii="宋体" w:hAnsi="宋体" w:cs="宋体"/>
          <w:lang w:val="en-US" w:eastAsia="zh-CN"/>
        </w:rPr>
        <w:t>141.36</w:t>
      </w:r>
      <w:r>
        <w:rPr>
          <w:rFonts w:hint="eastAsia" w:ascii="宋体" w:hAnsi="宋体" w:cs="宋体"/>
        </w:rPr>
        <w:t>万元；其他资产</w:t>
      </w:r>
      <w:r>
        <w:rPr>
          <w:rFonts w:hint="eastAsia" w:ascii="宋体" w:hAnsi="宋体" w:cs="宋体"/>
          <w:lang w:val="en-US" w:eastAsia="zh-CN"/>
        </w:rPr>
        <w:t>143.33</w:t>
      </w:r>
      <w:r>
        <w:rPr>
          <w:rFonts w:hint="eastAsia" w:ascii="宋体" w:hAnsi="宋体" w:cs="宋体"/>
        </w:rPr>
        <w:t>万元。</w:t>
      </w:r>
    </w:p>
    <w:p>
      <w:pPr>
        <w:pStyle w:val="4"/>
        <w:widowControl/>
        <w:spacing w:before="226" w:after="226" w:line="420" w:lineRule="atLeast"/>
        <w:ind w:firstLine="420"/>
        <w:jc w:val="both"/>
      </w:pPr>
      <w:r>
        <w:rPr>
          <w:rFonts w:hint="eastAsia" w:ascii="黑体" w:hAnsi="宋体" w:eastAsia="黑体" w:cs="黑体"/>
        </w:rPr>
        <w:t>九、预算绩效情况说明</w:t>
      </w:r>
    </w:p>
    <w:p>
      <w:pPr>
        <w:pStyle w:val="4"/>
        <w:widowControl/>
        <w:spacing w:before="226" w:after="226" w:line="420" w:lineRule="atLeast"/>
        <w:ind w:firstLine="420"/>
        <w:jc w:val="both"/>
        <w:rPr>
          <w:rFonts w:ascii="宋体" w:hAnsi="宋体" w:cs="宋体"/>
        </w:rPr>
      </w:pPr>
      <w:r>
        <w:rPr>
          <w:rFonts w:hint="eastAsia" w:ascii="宋体" w:hAnsi="宋体" w:cs="宋体"/>
        </w:rPr>
        <w:t>尼玛</w:t>
      </w:r>
      <w:r>
        <w:rPr>
          <w:rFonts w:hint="eastAsia" w:ascii="宋体" w:hAnsi="宋体" w:cs="宋体"/>
          <w:lang w:eastAsia="zh-CN"/>
        </w:rPr>
        <w:t>县卓尼乡</w:t>
      </w:r>
      <w:r>
        <w:rPr>
          <w:rFonts w:hint="eastAsia" w:ascii="宋体" w:hAnsi="宋体" w:cs="宋体"/>
        </w:rPr>
        <w:t>2018年未实行预算绩效。</w:t>
      </w:r>
    </w:p>
    <w:p>
      <w:pPr>
        <w:pStyle w:val="4"/>
        <w:widowControl/>
        <w:spacing w:before="226" w:after="226" w:line="420" w:lineRule="atLeast"/>
        <w:ind w:left="420"/>
        <w:jc w:val="both"/>
        <w:rPr>
          <w:rFonts w:ascii="宋体" w:hAnsi="宋体" w:cs="宋体"/>
        </w:rPr>
      </w:pPr>
      <w:r>
        <w:rPr>
          <w:rFonts w:hint="eastAsia" w:ascii="黑体" w:hAnsi="宋体" w:eastAsia="黑体" w:cs="黑体"/>
        </w:rPr>
        <w:t>十、其他重要事项说明</w:t>
      </w:r>
    </w:p>
    <w:p>
      <w:pPr>
        <w:pStyle w:val="4"/>
        <w:widowControl/>
        <w:spacing w:before="226" w:after="226" w:line="420" w:lineRule="atLeast"/>
        <w:ind w:firstLine="420"/>
        <w:jc w:val="both"/>
        <w:rPr>
          <w:rFonts w:cs="宋体" w:asciiTheme="minorEastAsia" w:hAnsiTheme="minorEastAsia"/>
        </w:rPr>
      </w:pPr>
      <w:r>
        <w:rPr>
          <w:rFonts w:hint="eastAsia" w:cs="宋体" w:asciiTheme="minorEastAsia" w:hAnsiTheme="minorEastAsia"/>
        </w:rPr>
        <w:t>2018年度尼玛县</w:t>
      </w:r>
      <w:r>
        <w:rPr>
          <w:rFonts w:hint="eastAsia" w:cs="宋体" w:asciiTheme="minorEastAsia" w:hAnsiTheme="minorEastAsia"/>
          <w:lang w:eastAsia="zh-CN"/>
        </w:rPr>
        <w:t>卓尼乡</w:t>
      </w:r>
      <w:r>
        <w:rPr>
          <w:rFonts w:hint="eastAsia" w:cs="宋体" w:asciiTheme="minorEastAsia" w:hAnsiTheme="minorEastAsia"/>
        </w:rPr>
        <w:t>没有安排政府性基金预算支出，不存在政府性债务。</w:t>
      </w:r>
    </w:p>
    <w:p>
      <w:pPr>
        <w:pStyle w:val="4"/>
        <w:widowControl/>
        <w:spacing w:before="226" w:after="226" w:line="420" w:lineRule="atLeast"/>
        <w:ind w:firstLine="420"/>
        <w:jc w:val="center"/>
        <w:rPr>
          <w:rFonts w:ascii="微软雅黑" w:hAnsi="微软雅黑" w:eastAsia="微软雅黑"/>
          <w:b/>
          <w:bCs/>
          <w:sz w:val="25"/>
          <w:szCs w:val="25"/>
        </w:rPr>
      </w:pPr>
      <w:r>
        <w:rPr>
          <w:rFonts w:hint="eastAsia" w:ascii="微软雅黑" w:hAnsi="微软雅黑" w:eastAsia="微软雅黑" w:cs="黑体"/>
          <w:b/>
          <w:bCs/>
          <w:sz w:val="25"/>
          <w:szCs w:val="25"/>
        </w:rPr>
        <w:t>第四部分 名词解释</w:t>
      </w:r>
    </w:p>
    <w:p>
      <w:pPr>
        <w:pStyle w:val="4"/>
        <w:widowControl/>
        <w:spacing w:before="226" w:after="226" w:line="420" w:lineRule="atLeast"/>
        <w:ind w:firstLine="420"/>
        <w:jc w:val="both"/>
      </w:pPr>
      <w:r>
        <w:rPr>
          <w:rFonts w:hint="eastAsia" w:ascii="宋体" w:hAnsi="宋体" w:cs="宋体"/>
        </w:rPr>
        <w:t>一、财政拨款收入,指同级财政当年拨付的资金。</w:t>
      </w:r>
    </w:p>
    <w:p>
      <w:pPr>
        <w:pStyle w:val="4"/>
        <w:widowControl/>
        <w:spacing w:before="226" w:after="226" w:line="420" w:lineRule="atLeast"/>
        <w:ind w:firstLine="420"/>
        <w:jc w:val="both"/>
        <w:rPr>
          <w:rFonts w:ascii="宋体" w:hAnsi="宋体" w:cs="宋体"/>
        </w:rPr>
      </w:pPr>
      <w:r>
        <w:rPr>
          <w:rFonts w:hint="eastAsia" w:ascii="宋体" w:hAnsi="宋体" w:cs="宋体"/>
        </w:rPr>
        <w:t>二、其他收入,指上述“财政拨款收入”以外的收入。</w:t>
      </w:r>
    </w:p>
    <w:p>
      <w:pPr>
        <w:pStyle w:val="4"/>
        <w:widowControl/>
        <w:spacing w:before="226" w:after="226" w:line="420" w:lineRule="atLeast"/>
        <w:ind w:firstLine="420"/>
        <w:jc w:val="both"/>
      </w:pPr>
      <w:r>
        <w:rPr>
          <w:rFonts w:hint="eastAsia" w:ascii="宋体" w:hAnsi="宋体" w:cs="宋体"/>
        </w:rPr>
        <w:t>三、上年结转,指以前年度尚未完成、结转到本年度仍按原规定用途继续使用的资金。</w:t>
      </w:r>
    </w:p>
    <w:p>
      <w:pPr>
        <w:pStyle w:val="4"/>
        <w:widowControl/>
        <w:spacing w:before="226" w:after="226" w:line="420" w:lineRule="atLeast"/>
        <w:ind w:firstLine="420"/>
        <w:jc w:val="both"/>
      </w:pPr>
      <w:r>
        <w:rPr>
          <w:rFonts w:hint="eastAsia" w:ascii="宋体" w:hAnsi="宋体" w:cs="宋体"/>
        </w:rPr>
        <w:t>四、财政事务:指财政事务方面的支出。有关具体事务包括行政管理、机关服务、预算改革业务、财政国库业务、财政监督、信息化建设、财政委托业务等。</w:t>
      </w:r>
    </w:p>
    <w:p>
      <w:pPr>
        <w:pStyle w:val="4"/>
        <w:widowControl/>
        <w:spacing w:before="226" w:after="226" w:line="420" w:lineRule="atLeast"/>
        <w:ind w:firstLine="420"/>
        <w:jc w:val="both"/>
      </w:pPr>
      <w:r>
        <w:rPr>
          <w:rFonts w:hint="eastAsia" w:ascii="宋体" w:hAnsi="宋体" w:cs="宋体"/>
        </w:rPr>
        <w:t>五、行政运行支出:指行政单位(包括实行公务员管理的事业单位)的基本支出。</w:t>
      </w:r>
    </w:p>
    <w:p>
      <w:pPr>
        <w:pStyle w:val="4"/>
        <w:widowControl/>
        <w:spacing w:before="226" w:after="226" w:line="420" w:lineRule="atLeast"/>
        <w:ind w:firstLine="420"/>
        <w:jc w:val="both"/>
      </w:pPr>
      <w:r>
        <w:rPr>
          <w:rFonts w:hint="eastAsia" w:ascii="宋体" w:hAnsi="宋体" w:cs="宋体"/>
        </w:rPr>
        <w:t>六、一般行政管理事务:反映行政单位(包括实行公务员管理的事业单位)未单独设置项级科目的其他项目支出。</w:t>
      </w:r>
    </w:p>
    <w:p>
      <w:pPr>
        <w:pStyle w:val="4"/>
        <w:widowControl/>
        <w:spacing w:before="226" w:after="226" w:line="420" w:lineRule="atLeast"/>
        <w:ind w:firstLine="420"/>
        <w:jc w:val="both"/>
      </w:pPr>
      <w:r>
        <w:rPr>
          <w:rFonts w:hint="eastAsia" w:ascii="宋体" w:hAnsi="宋体" w:cs="宋体"/>
        </w:rPr>
        <w:t>七、年末结转和结余:指以前年度预算支出未完成,按照有关规定结转到当年或以后年度继续使用的资金。</w:t>
      </w:r>
    </w:p>
    <w:p>
      <w:pPr>
        <w:pStyle w:val="4"/>
        <w:widowControl/>
        <w:spacing w:before="226" w:after="226" w:line="420" w:lineRule="atLeast"/>
        <w:ind w:firstLine="420"/>
        <w:jc w:val="both"/>
      </w:pPr>
      <w:r>
        <w:rPr>
          <w:rFonts w:hint="eastAsia" w:ascii="宋体" w:hAnsi="宋体" w:cs="宋体"/>
        </w:rPr>
        <w:t>八、基本支出:指为保障机构正常运转、完成日常工作任务而发生的人员支出和共用支出。</w:t>
      </w:r>
    </w:p>
    <w:p>
      <w:pPr>
        <w:pStyle w:val="4"/>
        <w:widowControl/>
        <w:spacing w:before="226" w:after="226" w:line="420" w:lineRule="atLeast"/>
        <w:ind w:firstLine="420"/>
        <w:jc w:val="both"/>
        <w:rPr>
          <w:rFonts w:ascii="宋体" w:hAnsi="宋体" w:cs="宋体"/>
        </w:rPr>
      </w:pPr>
      <w:r>
        <w:rPr>
          <w:rFonts w:hint="eastAsia" w:ascii="宋体" w:hAnsi="宋体" w:cs="宋体"/>
        </w:rPr>
        <w:t>九、项目支出:指在基本支出之外为了完成特定的行政任务和事业目标所发生的支出。</w:t>
      </w:r>
    </w:p>
    <w:p/>
    <w:sectPr>
      <w:footerReference r:id="rId3" w:type="default"/>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bidi="bo-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10795" b="0"/>
              <wp:wrapNone/>
              <wp:docPr id="1" name="文本框 1"/>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6350">
                        <a:noFill/>
                      </a:ln>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tNNDTAAAABAEAAA8AAAAAAAAAAQAg&#10;AAAAIgAAAGRycy9kb3ducmV2LnhtbFBLAQIUABQAAAAIAIdO4kB/PSCuEwIAAAUEAAAOAAAAAAAA&#10;AAEAIAAAACIBAABkcnMvZTJvRG9jLnhtbFBLBQYAAAAABgAGAFkBAACnBQ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33A07"/>
    <w:multiLevelType w:val="singleLevel"/>
    <w:tmpl w:val="E9A33A07"/>
    <w:lvl w:ilvl="0" w:tentative="0">
      <w:start w:val="2"/>
      <w:numFmt w:val="chineseCounting"/>
      <w:suff w:val="space"/>
      <w:lvlText w:val="第%1部分"/>
      <w:lvlJc w:val="left"/>
      <w:rPr>
        <w:rFonts w:hint="eastAsia"/>
      </w:rPr>
    </w:lvl>
  </w:abstractNum>
  <w:abstractNum w:abstractNumId="1">
    <w:nsid w:val="6CBC3F1B"/>
    <w:multiLevelType w:val="multilevel"/>
    <w:tmpl w:val="6CBC3F1B"/>
    <w:lvl w:ilvl="0" w:tentative="0">
      <w:start w:val="1"/>
      <w:numFmt w:val="japaneseCounting"/>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28"/>
    <w:rsid w:val="00061767"/>
    <w:rsid w:val="000B10F0"/>
    <w:rsid w:val="00112608"/>
    <w:rsid w:val="00151E8C"/>
    <w:rsid w:val="0028472C"/>
    <w:rsid w:val="002C4741"/>
    <w:rsid w:val="003471AD"/>
    <w:rsid w:val="003971FC"/>
    <w:rsid w:val="003E57B3"/>
    <w:rsid w:val="005326E4"/>
    <w:rsid w:val="005D0E03"/>
    <w:rsid w:val="00634BC0"/>
    <w:rsid w:val="006C33B7"/>
    <w:rsid w:val="006E04AC"/>
    <w:rsid w:val="00784BAA"/>
    <w:rsid w:val="007B1C01"/>
    <w:rsid w:val="007B37AA"/>
    <w:rsid w:val="007C2E70"/>
    <w:rsid w:val="007E7C60"/>
    <w:rsid w:val="00842860"/>
    <w:rsid w:val="009D60B8"/>
    <w:rsid w:val="00A73328"/>
    <w:rsid w:val="00B7152F"/>
    <w:rsid w:val="00BA6153"/>
    <w:rsid w:val="00BF1981"/>
    <w:rsid w:val="00BF25D0"/>
    <w:rsid w:val="00C814FD"/>
    <w:rsid w:val="00F5653E"/>
    <w:rsid w:val="00F953B4"/>
    <w:rsid w:val="00FF3A3D"/>
    <w:rsid w:val="15792C6F"/>
    <w:rsid w:val="1C6515B9"/>
    <w:rsid w:val="3AAF37EE"/>
    <w:rsid w:val="4E9A11C0"/>
    <w:rsid w:val="6C6A76EA"/>
    <w:rsid w:val="76994EE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26"/>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26"/>
    </w:rPr>
  </w:style>
  <w:style w:type="character" w:customStyle="1" w:styleId="9">
    <w:name w:val="页脚 Char"/>
    <w:basedOn w:val="6"/>
    <w:link w:val="2"/>
    <w:qFormat/>
    <w:uiPriority w:val="0"/>
    <w:rPr>
      <w:sz w:val="18"/>
      <w:szCs w:val="26"/>
    </w:rPr>
  </w:style>
  <w:style w:type="character" w:customStyle="1" w:styleId="10">
    <w:name w:val="wher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516</Words>
  <Characters>2942</Characters>
  <Lines>24</Lines>
  <Paragraphs>6</Paragraphs>
  <TotalTime>10</TotalTime>
  <ScaleCrop>false</ScaleCrop>
  <LinksUpToDate>false</LinksUpToDate>
  <CharactersWithSpaces>3452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2019-08-27T08:09:00Z</dcterms:created>
  <dc:creator>Admin</dc:creator>
  <cp:lastModifiedBy>空城泪，旧王愁</cp:lastModifiedBy>
  <cp:lastPrinted>2019-08-29T09:25:00Z</cp:lastPrinted>
  <dcterms:modified xsi:type="dcterms:W3CDTF">2019-08-29T09:43:25Z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