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default" w:ascii="仿宋" w:hAnsi="仿宋" w:eastAsia="仿宋" w:cs="仿宋"/>
          <w:sz w:val="32"/>
          <w:szCs w:val="32"/>
        </w:rPr>
      </w:pPr>
      <w:r>
        <w:rPr>
          <w:rFonts w:ascii="仿宋" w:hAnsi="仿宋" w:eastAsia="仿宋" w:cs="仿宋"/>
          <w:sz w:val="32"/>
          <w:szCs w:val="32"/>
        </w:rPr>
        <w:t>尼玛县文部乡</w:t>
      </w:r>
      <w:r>
        <w:rPr>
          <w:rFonts w:hint="eastAsia" w:ascii="仿宋" w:hAnsi="仿宋" w:eastAsia="仿宋" w:cs="仿宋"/>
          <w:sz w:val="32"/>
          <w:szCs w:val="32"/>
          <w:lang w:val="en-US" w:eastAsia="zh-CN"/>
        </w:rPr>
        <w:t>2021</w:t>
      </w:r>
      <w:r>
        <w:rPr>
          <w:rFonts w:ascii="仿宋" w:hAnsi="仿宋" w:eastAsia="仿宋" w:cs="仿宋"/>
          <w:sz w:val="32"/>
          <w:szCs w:val="32"/>
        </w:rPr>
        <w:t>年度部门决算公开</w:t>
      </w:r>
    </w:p>
    <w:p>
      <w:pPr>
        <w:pStyle w:val="5"/>
        <w:widowControl/>
        <w:spacing w:before="226" w:after="226" w:line="420" w:lineRule="atLeast"/>
        <w:jc w:val="center"/>
        <w:rPr>
          <w:rFonts w:ascii="仿宋" w:hAnsi="仿宋" w:eastAsia="仿宋" w:cs="仿宋"/>
          <w:sz w:val="32"/>
          <w:szCs w:val="32"/>
        </w:rPr>
      </w:pPr>
      <w:r>
        <w:rPr>
          <w:rFonts w:hint="eastAsia" w:ascii="仿宋" w:hAnsi="仿宋" w:eastAsia="仿宋" w:cs="仿宋"/>
          <w:sz w:val="32"/>
          <w:szCs w:val="32"/>
        </w:rPr>
        <w:t>目 录</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第一部分 尼玛县文部乡概况</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一、部门决算单位构成</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二、部门职责和机构设置</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第二部分 尼玛县文部乡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年度部门决算表</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 xml:space="preserve">一、收支决算总表  </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二、收入决算总表</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三、支出决算总表</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四、财政拨款收支决算总表</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五、一般公共预算财政拨款支出决算表</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六、一般公共预算财政拨款基本支出决算表</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七、一般公共预算相关经费支出决算表</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第三部分 尼玛县文部乡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年度部门决算数据说明  </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年度一般公共预算收支总体情况说明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年度一般公共预算收入情况说明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年度一般公共预算支出情况说明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年度一般公共预算财政拨款支出情况说明 </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年度“三公”及相关经费预决算情况说明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年度机关运行情况说明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七、政府采购情况说明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八、国有资产占有使用情况</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九、预算绩效情况说明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十、其他重要事项说明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第四部分 名词解释</w:t>
      </w:r>
    </w:p>
    <w:p>
      <w:pPr>
        <w:pStyle w:val="5"/>
        <w:widowControl/>
        <w:spacing w:before="226" w:after="226" w:line="420" w:lineRule="atLeast"/>
        <w:jc w:val="center"/>
        <w:rPr>
          <w:rFonts w:ascii="仿宋" w:hAnsi="仿宋" w:eastAsia="仿宋" w:cs="仿宋"/>
          <w:sz w:val="32"/>
          <w:szCs w:val="32"/>
        </w:rPr>
      </w:pPr>
    </w:p>
    <w:p>
      <w:pPr>
        <w:pStyle w:val="5"/>
        <w:widowControl/>
        <w:spacing w:before="226" w:after="226" w:line="420" w:lineRule="atLeast"/>
        <w:jc w:val="center"/>
        <w:rPr>
          <w:rFonts w:ascii="仿宋" w:hAnsi="仿宋" w:eastAsia="仿宋" w:cs="仿宋"/>
          <w:sz w:val="32"/>
          <w:szCs w:val="32"/>
        </w:rPr>
      </w:pPr>
    </w:p>
    <w:p>
      <w:pPr>
        <w:pStyle w:val="5"/>
        <w:widowControl/>
        <w:spacing w:before="226" w:after="226" w:line="420" w:lineRule="atLeast"/>
        <w:jc w:val="center"/>
        <w:rPr>
          <w:rFonts w:ascii="仿宋" w:hAnsi="仿宋" w:eastAsia="仿宋" w:cs="仿宋"/>
          <w:sz w:val="32"/>
          <w:szCs w:val="32"/>
        </w:rPr>
      </w:pPr>
    </w:p>
    <w:p>
      <w:pPr>
        <w:pStyle w:val="5"/>
        <w:widowControl/>
        <w:spacing w:before="226" w:after="226" w:line="420" w:lineRule="atLeast"/>
        <w:jc w:val="center"/>
        <w:rPr>
          <w:rFonts w:ascii="仿宋" w:hAnsi="仿宋" w:eastAsia="仿宋" w:cs="仿宋"/>
          <w:sz w:val="32"/>
          <w:szCs w:val="32"/>
        </w:rPr>
      </w:pPr>
    </w:p>
    <w:p>
      <w:pPr>
        <w:pStyle w:val="5"/>
        <w:widowControl/>
        <w:spacing w:before="226" w:after="226" w:line="420" w:lineRule="atLeast"/>
        <w:jc w:val="both"/>
        <w:rPr>
          <w:rFonts w:ascii="仿宋" w:hAnsi="仿宋" w:eastAsia="仿宋" w:cs="仿宋"/>
          <w:sz w:val="32"/>
          <w:szCs w:val="32"/>
        </w:rPr>
      </w:pPr>
    </w:p>
    <w:p>
      <w:pPr>
        <w:pStyle w:val="5"/>
        <w:widowControl/>
        <w:spacing w:before="226" w:after="226" w:line="420" w:lineRule="atLeast"/>
        <w:jc w:val="both"/>
        <w:rPr>
          <w:rFonts w:ascii="仿宋" w:hAnsi="仿宋" w:eastAsia="仿宋" w:cs="仿宋"/>
          <w:sz w:val="32"/>
          <w:szCs w:val="32"/>
        </w:rPr>
      </w:pPr>
    </w:p>
    <w:p>
      <w:pPr>
        <w:pStyle w:val="5"/>
        <w:widowControl/>
        <w:spacing w:before="226" w:after="226" w:line="420" w:lineRule="atLeast"/>
        <w:jc w:val="center"/>
        <w:rPr>
          <w:rFonts w:ascii="仿宋" w:hAnsi="仿宋" w:eastAsia="仿宋" w:cs="仿宋"/>
          <w:sz w:val="32"/>
          <w:szCs w:val="32"/>
        </w:rPr>
      </w:pPr>
    </w:p>
    <w:p>
      <w:pPr>
        <w:pStyle w:val="5"/>
        <w:widowControl/>
        <w:spacing w:before="226" w:after="226" w:line="420" w:lineRule="atLeast"/>
        <w:jc w:val="center"/>
        <w:rPr>
          <w:rFonts w:ascii="仿宋" w:hAnsi="仿宋" w:eastAsia="仿宋" w:cs="仿宋"/>
          <w:sz w:val="32"/>
          <w:szCs w:val="32"/>
        </w:rPr>
      </w:pPr>
      <w:r>
        <w:rPr>
          <w:rFonts w:hint="eastAsia" w:ascii="仿宋" w:hAnsi="仿宋" w:eastAsia="仿宋" w:cs="仿宋"/>
          <w:sz w:val="32"/>
          <w:szCs w:val="32"/>
        </w:rPr>
        <w:t>第一部分 尼玛县文部乡概况</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一、部门决算单位构成</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 xml:space="preserve">尼玛县文部乡人民政府组成部门,财政一级预算单位,此次决算公开范围为文部乡机关。 </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二、部门职责和机构设置</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(一)部门职责</w:t>
      </w:r>
    </w:p>
    <w:p>
      <w:pPr>
        <w:pStyle w:val="5"/>
        <w:widowControl/>
        <w:spacing w:before="225" w:after="30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文部乡设综合办事机构，分别为党政办公室、农牧民综合办公室、财政所，在党政办公室挂安全生产办公室、扶贫办办公室牌子，设3个直属事业机构，即农业服务中心、卫生院、文化站。</w:t>
      </w:r>
    </w:p>
    <w:p>
      <w:pPr>
        <w:pStyle w:val="5"/>
        <w:widowControl/>
        <w:spacing w:before="225" w:after="30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1、党政办公室职能职责：负责组织、人事、宣传、统计、纪检、综治办、人大、保密、信息、文书档案管理、后勤保障和党政日常工作。负责财政所和国有次产管理、负责计划生育管理、民政、老龄、残疾人事业和信访、矛盾纠纷排查调处等工作。</w:t>
      </w:r>
    </w:p>
    <w:p>
      <w:pPr>
        <w:pStyle w:val="5"/>
        <w:widowControl/>
        <w:spacing w:before="225" w:after="30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经济发展办公室职能职责：负责农业、农村经营呢管理和农业产业化发展、统计、安全生产等工作；负责土地管理、村乡建设，环境保护等工作、负责农村土地承包管理去、农民负担监督管理和农村集体财务管理工作。</w:t>
      </w:r>
    </w:p>
    <w:p>
      <w:pPr>
        <w:pStyle w:val="5"/>
        <w:widowControl/>
        <w:spacing w:before="225" w:after="300" w:line="450" w:lineRule="atLeas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3、财政所职能职责：组织预算收支执行、监督财政资金使用，落实惠农惠民资金政策，指导乡村财务管理等。贯彻执行各项财经法律、法规和制度；负责编报乡镇年度财政收支预算、决算并组织预算执行，协助税务机关和非税务收入执收部门征缴财政收入，协助有关机构代收代缴各类社会保障资金；负责各项惠民资金的审核发放和项目建设资金的监督管理；负责本乡的国有资产和政策性的债权债务；指导和监督本乡行政事业单位的财务管理；接受委托代管村级财务、债权债务和集体资产，负责乡镇财务信息公开工作。</w:t>
      </w:r>
    </w:p>
    <w:p>
      <w:pPr>
        <w:pStyle w:val="5"/>
        <w:widowControl/>
        <w:spacing w:before="225" w:after="30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4、农业综合中心职能职责：农牧业生产中关键技术和新品种、新农具的引进、动物防疫及农业灾害的预测、预报防治和处置。</w:t>
      </w:r>
    </w:p>
    <w:p>
      <w:pPr>
        <w:pStyle w:val="5"/>
        <w:widowControl/>
        <w:spacing w:before="225" w:after="30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文化站智能职责是向广大人民群众进行宣传教育，研究文化活动规律，创作文艺作品，组织、辅导群众开展文体活动、普及科学文化知识、并提供活动场所，文化站建设是公共文化服务体系重要工程之一，是精神文明建设的重要窗口。</w:t>
      </w:r>
    </w:p>
    <w:p>
      <w:pPr>
        <w:pStyle w:val="5"/>
        <w:widowControl/>
        <w:spacing w:before="225" w:after="30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卫生院职能职责组织领导群众卫生运动，培训卫生技术人员，并对基层卫生医疗机构进行业务指导和会诊工作。担负着医疗防疫保健的重要任务，是直接农村看病难看病贵的重要一关。严格执行新型农村合作医疗政策规定，旅行定点医疗机构职责，做好有关的政策宣传、监督及服务工作。</w:t>
      </w:r>
    </w:p>
    <w:p>
      <w:pPr>
        <w:pStyle w:val="5"/>
        <w:widowControl/>
        <w:spacing w:before="225" w:after="30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7、拟定乡财政监督检查制度；监督检查财税法规、政策的执行情况，反映财政收支管理中的重大问题。</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color w:val="000000"/>
          <w:sz w:val="32"/>
          <w:szCs w:val="32"/>
        </w:rPr>
        <w:t>8、承办乡政府交办的其他事项。</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(二)部门机构设置</w:t>
      </w:r>
    </w:p>
    <w:p>
      <w:pPr>
        <w:pStyle w:val="5"/>
        <w:widowControl/>
        <w:spacing w:before="226" w:after="226" w:line="420"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我乡隶属行政机构，人员编制</w:t>
      </w:r>
      <w:r>
        <w:rPr>
          <w:rFonts w:hint="eastAsia" w:ascii="仿宋" w:hAnsi="仿宋" w:eastAsia="仿宋" w:cs="仿宋"/>
          <w:sz w:val="32"/>
          <w:szCs w:val="32"/>
          <w:lang w:val="en-US" w:eastAsia="zh-CN"/>
        </w:rPr>
        <w:t>77</w:t>
      </w:r>
      <w:r>
        <w:rPr>
          <w:rFonts w:hint="eastAsia" w:ascii="仿宋" w:hAnsi="仿宋" w:eastAsia="仿宋" w:cs="仿宋"/>
          <w:sz w:val="32"/>
          <w:szCs w:val="32"/>
        </w:rPr>
        <w:t>人，行政人员编制</w:t>
      </w:r>
      <w:r>
        <w:rPr>
          <w:rFonts w:hint="eastAsia" w:ascii="仿宋" w:hAnsi="仿宋" w:eastAsia="仿宋" w:cs="仿宋"/>
          <w:sz w:val="32"/>
          <w:szCs w:val="32"/>
          <w:lang w:val="en-US" w:eastAsia="zh-CN"/>
        </w:rPr>
        <w:t>26</w:t>
      </w:r>
      <w:r>
        <w:rPr>
          <w:rFonts w:hint="eastAsia" w:ascii="仿宋" w:hAnsi="仿宋" w:eastAsia="仿宋" w:cs="仿宋"/>
          <w:sz w:val="32"/>
          <w:szCs w:val="32"/>
        </w:rPr>
        <w:t>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年底，我乡在职职工</w:t>
      </w:r>
      <w:r>
        <w:rPr>
          <w:rFonts w:hint="eastAsia" w:ascii="仿宋" w:hAnsi="仿宋" w:eastAsia="仿宋" w:cs="仿宋"/>
          <w:sz w:val="32"/>
          <w:szCs w:val="32"/>
          <w:lang w:val="en-US" w:eastAsia="zh-CN"/>
        </w:rPr>
        <w:t>56</w:t>
      </w:r>
      <w:r>
        <w:rPr>
          <w:rFonts w:hint="eastAsia" w:ascii="仿宋" w:hAnsi="仿宋" w:eastAsia="仿宋" w:cs="仿宋"/>
          <w:sz w:val="32"/>
          <w:szCs w:val="32"/>
        </w:rPr>
        <w:t>人（借</w:t>
      </w:r>
      <w:r>
        <w:rPr>
          <w:rFonts w:hint="eastAsia" w:ascii="仿宋" w:hAnsi="仿宋" w:eastAsia="仿宋" w:cs="仿宋"/>
          <w:sz w:val="32"/>
          <w:szCs w:val="32"/>
          <w:lang w:eastAsia="zh-CN"/>
        </w:rPr>
        <w:t>调</w:t>
      </w:r>
      <w:r>
        <w:rPr>
          <w:rFonts w:hint="eastAsia" w:ascii="仿宋" w:hAnsi="仿宋" w:eastAsia="仿宋" w:cs="仿宋"/>
          <w:sz w:val="32"/>
          <w:szCs w:val="32"/>
          <w:lang w:val="en-US" w:eastAsia="zh-CN"/>
        </w:rPr>
        <w:t>1</w:t>
      </w:r>
      <w:r>
        <w:rPr>
          <w:rFonts w:hint="eastAsia" w:ascii="仿宋" w:hAnsi="仿宋" w:eastAsia="仿宋" w:cs="仿宋"/>
          <w:sz w:val="32"/>
          <w:szCs w:val="32"/>
        </w:rPr>
        <w:t>人），其中：正科干部</w:t>
      </w:r>
      <w:r>
        <w:rPr>
          <w:rFonts w:hint="eastAsia" w:ascii="仿宋" w:hAnsi="仿宋" w:eastAsia="仿宋" w:cs="仿宋"/>
          <w:sz w:val="32"/>
          <w:szCs w:val="32"/>
          <w:lang w:val="en-US" w:eastAsia="zh-CN"/>
        </w:rPr>
        <w:t>3</w:t>
      </w:r>
      <w:r>
        <w:rPr>
          <w:rFonts w:hint="eastAsia" w:ascii="仿宋" w:hAnsi="仿宋" w:eastAsia="仿宋" w:cs="仿宋"/>
          <w:sz w:val="32"/>
          <w:szCs w:val="32"/>
        </w:rPr>
        <w:t>人、副科级部</w:t>
      </w:r>
      <w:r>
        <w:rPr>
          <w:rFonts w:hint="eastAsia" w:ascii="仿宋" w:hAnsi="仿宋" w:eastAsia="仿宋" w:cs="仿宋"/>
          <w:sz w:val="32"/>
          <w:szCs w:val="32"/>
          <w:lang w:val="en-US" w:eastAsia="zh-CN"/>
        </w:rPr>
        <w:t>8</w:t>
      </w:r>
      <w:r>
        <w:rPr>
          <w:rFonts w:hint="eastAsia" w:ascii="仿宋" w:hAnsi="仿宋" w:eastAsia="仿宋" w:cs="仿宋"/>
          <w:sz w:val="32"/>
          <w:szCs w:val="32"/>
        </w:rPr>
        <w:t>人，科员及以下干部</w:t>
      </w:r>
      <w:r>
        <w:rPr>
          <w:rFonts w:hint="eastAsia" w:ascii="仿宋" w:hAnsi="仿宋" w:eastAsia="仿宋" w:cs="仿宋"/>
          <w:sz w:val="32"/>
          <w:szCs w:val="32"/>
          <w:lang w:val="en-US" w:eastAsia="zh-CN"/>
        </w:rPr>
        <w:t>45</w:t>
      </w:r>
      <w:r>
        <w:rPr>
          <w:rFonts w:hint="eastAsia" w:ascii="仿宋" w:hAnsi="仿宋" w:eastAsia="仿宋" w:cs="仿宋"/>
          <w:sz w:val="32"/>
          <w:szCs w:val="32"/>
        </w:rPr>
        <w:t>人。我乡共设置党委办公室、政府办公室、书记办公室、乡长办公室、人大办公室、综治办、扶贫办公室、卫生院、文化站、农技站、等内设机构。我乡认可车辆为</w:t>
      </w:r>
      <w:r>
        <w:rPr>
          <w:rFonts w:hint="eastAsia" w:ascii="仿宋" w:hAnsi="仿宋" w:eastAsia="仿宋" w:cs="仿宋"/>
          <w:sz w:val="32"/>
          <w:szCs w:val="32"/>
          <w:lang w:val="en-US" w:eastAsia="zh-CN"/>
        </w:rPr>
        <w:t>8</w:t>
      </w:r>
      <w:r>
        <w:rPr>
          <w:rFonts w:hint="eastAsia" w:ascii="仿宋" w:hAnsi="仿宋" w:eastAsia="仿宋" w:cs="仿宋"/>
          <w:sz w:val="32"/>
          <w:szCs w:val="32"/>
        </w:rPr>
        <w:t>俩，其中</w:t>
      </w:r>
      <w:bookmarkStart w:id="0" w:name="OLE_LINK1"/>
      <w:r>
        <w:rPr>
          <w:rFonts w:hint="eastAsia" w:ascii="仿宋" w:hAnsi="仿宋" w:eastAsia="仿宋" w:cs="仿宋"/>
          <w:sz w:val="32"/>
          <w:szCs w:val="32"/>
        </w:rPr>
        <w:t>越野车</w:t>
      </w:r>
      <w:r>
        <w:rPr>
          <w:rFonts w:hint="eastAsia" w:ascii="仿宋" w:hAnsi="仿宋" w:eastAsia="仿宋" w:cs="仿宋"/>
          <w:sz w:val="32"/>
          <w:szCs w:val="32"/>
          <w:lang w:val="en-US" w:eastAsia="zh-CN"/>
        </w:rPr>
        <w:t>5</w:t>
      </w:r>
      <w:r>
        <w:rPr>
          <w:rFonts w:hint="eastAsia" w:ascii="仿宋" w:hAnsi="仿宋" w:eastAsia="仿宋" w:cs="仿宋"/>
          <w:sz w:val="32"/>
          <w:szCs w:val="32"/>
        </w:rPr>
        <w:t>俩</w:t>
      </w:r>
      <w:bookmarkEnd w:id="0"/>
      <w:r>
        <w:rPr>
          <w:rFonts w:hint="eastAsia" w:ascii="仿宋" w:hAnsi="仿宋" w:eastAsia="仿宋" w:cs="仿宋"/>
          <w:sz w:val="32"/>
          <w:szCs w:val="32"/>
        </w:rPr>
        <w:t>，单位实有车辆</w:t>
      </w:r>
      <w:r>
        <w:rPr>
          <w:rFonts w:hint="eastAsia" w:ascii="仿宋" w:hAnsi="仿宋" w:eastAsia="仿宋" w:cs="仿宋"/>
          <w:sz w:val="32"/>
          <w:szCs w:val="32"/>
          <w:lang w:val="en-US" w:eastAsia="zh-CN"/>
        </w:rPr>
        <w:t>8</w:t>
      </w:r>
      <w:r>
        <w:rPr>
          <w:rFonts w:hint="eastAsia" w:ascii="仿宋" w:hAnsi="仿宋" w:eastAsia="仿宋" w:cs="仿宋"/>
          <w:sz w:val="32"/>
          <w:szCs w:val="32"/>
        </w:rPr>
        <w:t>俩（其中：越野车</w:t>
      </w:r>
      <w:r>
        <w:rPr>
          <w:rFonts w:hint="eastAsia" w:ascii="仿宋" w:hAnsi="仿宋" w:eastAsia="仿宋" w:cs="仿宋"/>
          <w:sz w:val="32"/>
          <w:szCs w:val="32"/>
          <w:lang w:val="en-US" w:eastAsia="zh-CN"/>
        </w:rPr>
        <w:t>5</w:t>
      </w:r>
      <w:r>
        <w:rPr>
          <w:rFonts w:hint="eastAsia" w:ascii="仿宋" w:hAnsi="仿宋" w:eastAsia="仿宋" w:cs="仿宋"/>
          <w:sz w:val="32"/>
          <w:szCs w:val="32"/>
        </w:rPr>
        <w:t>俩，急救车1俩、环保车1俩）。</w:t>
      </w:r>
    </w:p>
    <w:p>
      <w:pPr>
        <w:pStyle w:val="5"/>
        <w:widowControl/>
        <w:spacing w:before="226" w:after="226" w:line="420" w:lineRule="atLeast"/>
        <w:jc w:val="center"/>
        <w:rPr>
          <w:rFonts w:ascii="仿宋" w:hAnsi="仿宋" w:eastAsia="仿宋" w:cs="仿宋"/>
          <w:sz w:val="32"/>
          <w:szCs w:val="32"/>
        </w:rPr>
      </w:pPr>
      <w:r>
        <w:rPr>
          <w:rFonts w:hint="eastAsia" w:ascii="仿宋" w:hAnsi="仿宋" w:eastAsia="仿宋" w:cs="仿宋"/>
          <w:sz w:val="32"/>
          <w:szCs w:val="32"/>
        </w:rPr>
        <w:t>第二部分 尼玛县文部乡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年度部门决算表</w:t>
      </w:r>
    </w:p>
    <w:p>
      <w:pPr>
        <w:pStyle w:val="5"/>
        <w:widowControl/>
        <w:spacing w:before="226" w:after="226" w:line="420" w:lineRule="atLeast"/>
        <w:jc w:val="center"/>
        <w:rPr>
          <w:rFonts w:ascii="仿宋" w:hAnsi="仿宋" w:eastAsia="仿宋" w:cs="仿宋"/>
          <w:sz w:val="32"/>
          <w:szCs w:val="32"/>
        </w:rPr>
      </w:pPr>
      <w:r>
        <w:rPr>
          <w:rFonts w:hint="eastAsia" w:ascii="仿宋" w:hAnsi="仿宋" w:eastAsia="仿宋" w:cs="仿宋"/>
          <w:sz w:val="32"/>
          <w:szCs w:val="32"/>
        </w:rPr>
        <w:t>(详见附表1-8)</w:t>
      </w:r>
    </w:p>
    <w:p>
      <w:pPr>
        <w:pStyle w:val="5"/>
        <w:widowControl/>
        <w:spacing w:before="226" w:after="226" w:line="420" w:lineRule="atLeast"/>
        <w:jc w:val="center"/>
        <w:rPr>
          <w:rFonts w:ascii="仿宋" w:hAnsi="仿宋" w:eastAsia="仿宋" w:cs="仿宋"/>
          <w:sz w:val="32"/>
          <w:szCs w:val="32"/>
        </w:rPr>
      </w:pPr>
      <w:r>
        <w:rPr>
          <w:rFonts w:hint="eastAsia" w:ascii="仿宋" w:hAnsi="仿宋" w:eastAsia="仿宋" w:cs="仿宋"/>
          <w:sz w:val="32"/>
          <w:szCs w:val="32"/>
        </w:rPr>
        <w:t>第三部分 尼玛县文部乡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年度部门决算数据说明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年度一般公共预算收支总体情况说明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我乡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年度总收入</w:t>
      </w:r>
      <w:r>
        <w:rPr>
          <w:rFonts w:hint="eastAsia" w:ascii="仿宋" w:hAnsi="仿宋" w:eastAsia="仿宋" w:cs="仿宋"/>
          <w:sz w:val="32"/>
          <w:szCs w:val="32"/>
          <w:lang w:val="en-US" w:eastAsia="zh-CN"/>
        </w:rPr>
        <w:t>1858.14万</w:t>
      </w:r>
      <w:r>
        <w:rPr>
          <w:rFonts w:hint="eastAsia" w:ascii="仿宋" w:hAnsi="仿宋" w:eastAsia="仿宋" w:cs="仿宋"/>
          <w:sz w:val="32"/>
          <w:szCs w:val="32"/>
        </w:rPr>
        <w:t>元,总支出</w:t>
      </w:r>
      <w:r>
        <w:rPr>
          <w:rFonts w:hint="eastAsia" w:ascii="仿宋" w:hAnsi="仿宋" w:eastAsia="仿宋" w:cs="仿宋"/>
          <w:sz w:val="32"/>
          <w:szCs w:val="32"/>
          <w:lang w:val="en-US" w:eastAsia="zh-CN"/>
        </w:rPr>
        <w:t>1740.58</w:t>
      </w:r>
      <w:r>
        <w:rPr>
          <w:rFonts w:hint="eastAsia" w:ascii="仿宋" w:hAnsi="仿宋" w:eastAsia="仿宋" w:cs="仿宋"/>
          <w:sz w:val="32"/>
          <w:szCs w:val="32"/>
        </w:rPr>
        <w:t>万元,结转结余</w:t>
      </w:r>
      <w:r>
        <w:rPr>
          <w:rFonts w:hint="eastAsia" w:ascii="仿宋" w:hAnsi="仿宋" w:eastAsia="仿宋" w:cs="仿宋"/>
          <w:sz w:val="32"/>
          <w:szCs w:val="32"/>
          <w:lang w:val="en-US" w:eastAsia="zh-CN"/>
        </w:rPr>
        <w:t>117.56</w:t>
      </w:r>
      <w:r>
        <w:rPr>
          <w:rFonts w:hint="eastAsia" w:ascii="仿宋" w:hAnsi="仿宋" w:eastAsia="仿宋" w:cs="仿宋"/>
          <w:sz w:val="32"/>
          <w:szCs w:val="32"/>
        </w:rPr>
        <w:t>万元。</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年度一般公共预算收入情况说明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年度总收入</w:t>
      </w:r>
      <w:r>
        <w:rPr>
          <w:rFonts w:hint="eastAsia" w:ascii="仿宋" w:hAnsi="仿宋" w:eastAsia="仿宋" w:cs="仿宋"/>
          <w:sz w:val="32"/>
          <w:szCs w:val="32"/>
          <w:lang w:val="en-US" w:eastAsia="zh-CN"/>
        </w:rPr>
        <w:t>1858.14</w:t>
      </w:r>
      <w:r>
        <w:rPr>
          <w:rFonts w:hint="eastAsia" w:ascii="仿宋" w:hAnsi="仿宋" w:eastAsia="仿宋" w:cs="仿宋"/>
          <w:sz w:val="32"/>
          <w:szCs w:val="32"/>
        </w:rPr>
        <w:t>万元,其中:当年财政拨款收入</w:t>
      </w:r>
      <w:r>
        <w:rPr>
          <w:rFonts w:hint="eastAsia" w:ascii="仿宋" w:hAnsi="仿宋" w:eastAsia="仿宋" w:cs="仿宋"/>
          <w:sz w:val="32"/>
          <w:szCs w:val="32"/>
          <w:lang w:val="en-US" w:eastAsia="zh-CN"/>
        </w:rPr>
        <w:t>1719.04</w:t>
      </w:r>
      <w:r>
        <w:rPr>
          <w:rFonts w:hint="eastAsia" w:ascii="仿宋" w:hAnsi="仿宋" w:eastAsia="仿宋" w:cs="仿宋"/>
          <w:sz w:val="32"/>
          <w:szCs w:val="32"/>
        </w:rPr>
        <w:t>万元。</w:t>
      </w:r>
      <w:r>
        <w:rPr>
          <w:rFonts w:hint="eastAsia" w:ascii="仿宋" w:hAnsi="仿宋" w:eastAsia="仿宋" w:cs="仿宋"/>
          <w:sz w:val="32"/>
          <w:szCs w:val="32"/>
          <w:lang w:eastAsia="zh-CN"/>
        </w:rPr>
        <w:t>上年财政拨款结转</w:t>
      </w:r>
      <w:r>
        <w:rPr>
          <w:rFonts w:hint="eastAsia" w:ascii="仿宋" w:hAnsi="仿宋" w:eastAsia="仿宋" w:cs="仿宋"/>
          <w:sz w:val="32"/>
          <w:szCs w:val="32"/>
          <w:lang w:val="en-US" w:eastAsia="zh-CN"/>
        </w:rPr>
        <w:t>139.10万元。</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年度一般公共预算支出情况说明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年度全年总支出</w:t>
      </w:r>
      <w:r>
        <w:rPr>
          <w:rFonts w:hint="eastAsia" w:ascii="仿宋" w:hAnsi="仿宋" w:eastAsia="仿宋" w:cs="仿宋"/>
          <w:sz w:val="32"/>
          <w:szCs w:val="32"/>
          <w:lang w:val="en-US" w:eastAsia="zh-CN"/>
        </w:rPr>
        <w:t>1740.58</w:t>
      </w:r>
      <w:r>
        <w:rPr>
          <w:rFonts w:hint="eastAsia" w:ascii="仿宋" w:hAnsi="仿宋" w:eastAsia="仿宋" w:cs="仿宋"/>
          <w:sz w:val="32"/>
          <w:szCs w:val="32"/>
        </w:rPr>
        <w:t>万元,其中:财政拨款支出</w:t>
      </w:r>
      <w:r>
        <w:rPr>
          <w:rFonts w:hint="eastAsia" w:ascii="仿宋" w:hAnsi="仿宋" w:eastAsia="仿宋" w:cs="仿宋"/>
          <w:sz w:val="32"/>
          <w:szCs w:val="32"/>
          <w:lang w:val="en-US" w:eastAsia="zh-CN"/>
        </w:rPr>
        <w:t>1740.58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年度一般公共预算财政拨款支出情况说明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(一)财政拨款支出决算总体情况。</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1740.58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1740.58</w:t>
      </w:r>
      <w:r>
        <w:rPr>
          <w:rFonts w:hint="eastAsia" w:ascii="仿宋" w:hAnsi="仿宋" w:eastAsia="仿宋" w:cs="仿宋"/>
          <w:sz w:val="32"/>
          <w:szCs w:val="32"/>
        </w:rPr>
        <w:t>万元,</w:t>
      </w:r>
      <w:r>
        <w:rPr>
          <w:rFonts w:hint="eastAsia" w:ascii="仿宋" w:hAnsi="仿宋" w:eastAsia="仿宋" w:cs="仿宋"/>
          <w:sz w:val="32"/>
          <w:szCs w:val="32"/>
          <w:lang w:eastAsia="zh-CN"/>
        </w:rPr>
        <w:t>占基本支出的</w:t>
      </w:r>
      <w:r>
        <w:rPr>
          <w:rFonts w:hint="eastAsia" w:ascii="仿宋" w:hAnsi="仿宋" w:eastAsia="仿宋" w:cs="仿宋"/>
          <w:sz w:val="32"/>
          <w:szCs w:val="32"/>
          <w:lang w:val="en-US" w:eastAsia="zh-CN"/>
        </w:rPr>
        <w:t>100%。</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(二)财政拨款支出决算具体情况。</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1740.58</w:t>
      </w:r>
      <w:r>
        <w:rPr>
          <w:rFonts w:hint="eastAsia" w:ascii="仿宋" w:hAnsi="仿宋" w:eastAsia="仿宋" w:cs="仿宋"/>
          <w:sz w:val="32"/>
          <w:szCs w:val="32"/>
        </w:rPr>
        <w:t>万元。其中:文部乡机关工资福利支出</w:t>
      </w:r>
      <w:r>
        <w:rPr>
          <w:rFonts w:hint="eastAsia" w:ascii="仿宋" w:hAnsi="仿宋" w:eastAsia="仿宋" w:cs="仿宋"/>
          <w:sz w:val="32"/>
          <w:szCs w:val="32"/>
          <w:lang w:val="en-US" w:eastAsia="zh-CN"/>
        </w:rPr>
        <w:t>1610.05</w:t>
      </w:r>
      <w:r>
        <w:rPr>
          <w:rFonts w:hint="eastAsia" w:ascii="仿宋" w:hAnsi="仿宋" w:eastAsia="仿宋" w:cs="仿宋"/>
          <w:sz w:val="32"/>
          <w:szCs w:val="32"/>
        </w:rPr>
        <w:t>万元；文部乡机关商品和服务支出</w:t>
      </w:r>
      <w:r>
        <w:rPr>
          <w:rFonts w:hint="eastAsia" w:ascii="仿宋" w:hAnsi="仿宋" w:eastAsia="仿宋" w:cs="仿宋"/>
          <w:sz w:val="32"/>
          <w:szCs w:val="32"/>
          <w:lang w:val="en-US" w:eastAsia="zh-CN"/>
        </w:rPr>
        <w:t>100.61</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29.92万元（村干部基本报酬、村监督委员基本报酬、食堂运转经费、村级党组织经费、基层政权支出等）。</w:t>
      </w:r>
    </w:p>
    <w:p>
      <w:pPr>
        <w:pStyle w:val="5"/>
        <w:widowControl/>
        <w:spacing w:before="226" w:after="226" w:line="420" w:lineRule="atLeast"/>
        <w:ind w:left="420"/>
        <w:jc w:val="both"/>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年度“三公”及相关经费预决算情况说明</w:t>
      </w:r>
    </w:p>
    <w:p>
      <w:pPr>
        <w:pStyle w:val="5"/>
        <w:widowControl/>
        <w:spacing w:before="226" w:after="226" w:line="420" w:lineRule="atLeast"/>
        <w:jc w:val="center"/>
        <w:rPr>
          <w:rFonts w:ascii="仿宋" w:hAnsi="仿宋" w:eastAsia="仿宋" w:cs="仿宋"/>
          <w:sz w:val="32"/>
          <w:szCs w:val="32"/>
        </w:rPr>
      </w:pPr>
      <w:r>
        <w:rPr>
          <w:rFonts w:hint="eastAsia" w:ascii="仿宋" w:hAnsi="仿宋" w:eastAsia="仿宋" w:cs="仿宋"/>
          <w:sz w:val="32"/>
          <w:szCs w:val="32"/>
        </w:rPr>
        <w:t>尼玛县文部乡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年“三公”及相关经费情况表</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                                                                       单位:万元</w:t>
      </w:r>
    </w:p>
    <w:tbl>
      <w:tblPr>
        <w:tblStyle w:val="6"/>
        <w:tblW w:w="9300" w:type="dxa"/>
        <w:jc w:val="center"/>
        <w:tblCellSpacing w:w="0" w:type="dxa"/>
        <w:tblLayout w:type="fixed"/>
        <w:tblCellMar>
          <w:top w:w="15" w:type="dxa"/>
          <w:left w:w="15" w:type="dxa"/>
          <w:bottom w:w="15" w:type="dxa"/>
          <w:right w:w="15" w:type="dxa"/>
        </w:tblCellMar>
      </w:tblPr>
      <w:tblGrid>
        <w:gridCol w:w="4308"/>
        <w:gridCol w:w="1858"/>
        <w:gridCol w:w="1986"/>
        <w:gridCol w:w="1148"/>
      </w:tblGrid>
      <w:tr>
        <w:tblPrEx>
          <w:tblCellMar>
            <w:top w:w="15" w:type="dxa"/>
            <w:left w:w="15" w:type="dxa"/>
            <w:bottom w:w="15" w:type="dxa"/>
            <w:right w:w="15" w:type="dxa"/>
          </w:tblCellMar>
        </w:tblPrEx>
        <w:trPr>
          <w:trHeight w:val="735" w:hRule="atLeast"/>
          <w:tblCellSpacing w:w="0" w:type="dxa"/>
          <w:jc w:val="center"/>
        </w:trPr>
        <w:tc>
          <w:tcPr>
            <w:tcW w:w="430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项  目</w:t>
            </w:r>
          </w:p>
        </w:tc>
        <w:tc>
          <w:tcPr>
            <w:tcW w:w="185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预算数</w:t>
            </w:r>
          </w:p>
        </w:tc>
        <w:tc>
          <w:tcPr>
            <w:tcW w:w="198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决算数</w:t>
            </w:r>
          </w:p>
        </w:tc>
        <w:tc>
          <w:tcPr>
            <w:tcW w:w="11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备  注</w:t>
            </w:r>
          </w:p>
        </w:tc>
      </w:tr>
      <w:tr>
        <w:tblPrEx>
          <w:tblCellMar>
            <w:top w:w="15" w:type="dxa"/>
            <w:left w:w="15" w:type="dxa"/>
            <w:bottom w:w="15" w:type="dxa"/>
            <w:right w:w="15" w:type="dxa"/>
          </w:tblCellMar>
        </w:tblPrEx>
        <w:trPr>
          <w:trHeight w:val="690" w:hRule="atLeast"/>
          <w:tblCellSpacing w:w="0" w:type="dxa"/>
          <w:jc w:val="center"/>
        </w:trPr>
        <w:tc>
          <w:tcPr>
            <w:tcW w:w="430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合  计</w:t>
            </w:r>
          </w:p>
        </w:tc>
        <w:tc>
          <w:tcPr>
            <w:tcW w:w="185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ind w:firstLine="42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25.69</w:t>
            </w:r>
          </w:p>
        </w:tc>
        <w:tc>
          <w:tcPr>
            <w:tcW w:w="198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ind w:firstLine="42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19.50</w:t>
            </w:r>
          </w:p>
        </w:tc>
        <w:tc>
          <w:tcPr>
            <w:tcW w:w="11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32"/>
                <w:szCs w:val="32"/>
              </w:rPr>
            </w:pPr>
          </w:p>
        </w:tc>
      </w:tr>
      <w:tr>
        <w:tblPrEx>
          <w:tblCellMar>
            <w:top w:w="15" w:type="dxa"/>
            <w:left w:w="15" w:type="dxa"/>
            <w:bottom w:w="15" w:type="dxa"/>
            <w:right w:w="15" w:type="dxa"/>
          </w:tblCellMar>
        </w:tblPrEx>
        <w:trPr>
          <w:trHeight w:val="720" w:hRule="atLeast"/>
          <w:tblCellSpacing w:w="0" w:type="dxa"/>
          <w:jc w:val="center"/>
        </w:trPr>
        <w:tc>
          <w:tcPr>
            <w:tcW w:w="430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1.因公出国(境)费</w:t>
            </w:r>
          </w:p>
        </w:tc>
        <w:tc>
          <w:tcPr>
            <w:tcW w:w="185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 w:hAnsi="仿宋" w:eastAsia="仿宋" w:cs="仿宋"/>
                <w:sz w:val="32"/>
                <w:szCs w:val="32"/>
              </w:rPr>
            </w:pPr>
          </w:p>
        </w:tc>
        <w:tc>
          <w:tcPr>
            <w:tcW w:w="198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ind w:firstLine="420"/>
              <w:jc w:val="center"/>
              <w:rPr>
                <w:rFonts w:ascii="仿宋" w:hAnsi="仿宋" w:eastAsia="仿宋" w:cs="仿宋"/>
                <w:sz w:val="32"/>
                <w:szCs w:val="32"/>
              </w:rPr>
            </w:pPr>
          </w:p>
        </w:tc>
        <w:tc>
          <w:tcPr>
            <w:tcW w:w="11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32"/>
                <w:szCs w:val="32"/>
              </w:rPr>
            </w:pPr>
          </w:p>
        </w:tc>
      </w:tr>
      <w:tr>
        <w:tblPrEx>
          <w:tblCellMar>
            <w:top w:w="15" w:type="dxa"/>
            <w:left w:w="15" w:type="dxa"/>
            <w:bottom w:w="15" w:type="dxa"/>
            <w:right w:w="15" w:type="dxa"/>
          </w:tblCellMar>
        </w:tblPrEx>
        <w:trPr>
          <w:trHeight w:val="585" w:hRule="atLeast"/>
          <w:tblCellSpacing w:w="0" w:type="dxa"/>
          <w:jc w:val="center"/>
        </w:trPr>
        <w:tc>
          <w:tcPr>
            <w:tcW w:w="430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2.公务接待费</w:t>
            </w:r>
          </w:p>
        </w:tc>
        <w:tc>
          <w:tcPr>
            <w:tcW w:w="185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ind w:firstLine="42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3.52</w:t>
            </w:r>
          </w:p>
        </w:tc>
        <w:tc>
          <w:tcPr>
            <w:tcW w:w="198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1.92</w:t>
            </w:r>
          </w:p>
        </w:tc>
        <w:tc>
          <w:tcPr>
            <w:tcW w:w="11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32"/>
                <w:szCs w:val="32"/>
              </w:rPr>
            </w:pPr>
          </w:p>
        </w:tc>
      </w:tr>
      <w:tr>
        <w:tblPrEx>
          <w:tblCellMar>
            <w:top w:w="15" w:type="dxa"/>
            <w:left w:w="15" w:type="dxa"/>
            <w:bottom w:w="15" w:type="dxa"/>
            <w:right w:w="15" w:type="dxa"/>
          </w:tblCellMar>
        </w:tblPrEx>
        <w:trPr>
          <w:trHeight w:val="705" w:hRule="atLeast"/>
          <w:tblCellSpacing w:w="0" w:type="dxa"/>
          <w:jc w:val="center"/>
        </w:trPr>
        <w:tc>
          <w:tcPr>
            <w:tcW w:w="430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3.公务用车经费</w:t>
            </w:r>
          </w:p>
        </w:tc>
        <w:tc>
          <w:tcPr>
            <w:tcW w:w="185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ind w:firstLine="42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22.17</w:t>
            </w:r>
          </w:p>
        </w:tc>
        <w:tc>
          <w:tcPr>
            <w:tcW w:w="198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17.58</w:t>
            </w:r>
          </w:p>
        </w:tc>
        <w:tc>
          <w:tcPr>
            <w:tcW w:w="11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32"/>
                <w:szCs w:val="32"/>
              </w:rPr>
            </w:pPr>
          </w:p>
        </w:tc>
      </w:tr>
      <w:tr>
        <w:tblPrEx>
          <w:tblCellMar>
            <w:top w:w="15" w:type="dxa"/>
            <w:left w:w="15" w:type="dxa"/>
            <w:bottom w:w="15" w:type="dxa"/>
            <w:right w:w="15" w:type="dxa"/>
          </w:tblCellMar>
        </w:tblPrEx>
        <w:trPr>
          <w:trHeight w:val="720" w:hRule="atLeast"/>
          <w:tblCellSpacing w:w="0" w:type="dxa"/>
          <w:jc w:val="center"/>
        </w:trPr>
        <w:tc>
          <w:tcPr>
            <w:tcW w:w="430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其中:(1)公务用车运行维护费</w:t>
            </w:r>
          </w:p>
        </w:tc>
        <w:tc>
          <w:tcPr>
            <w:tcW w:w="185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ind w:firstLine="42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22.17</w:t>
            </w:r>
          </w:p>
        </w:tc>
        <w:tc>
          <w:tcPr>
            <w:tcW w:w="198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17.58</w:t>
            </w:r>
          </w:p>
        </w:tc>
        <w:tc>
          <w:tcPr>
            <w:tcW w:w="11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32"/>
                <w:szCs w:val="32"/>
              </w:rPr>
            </w:pPr>
          </w:p>
        </w:tc>
      </w:tr>
      <w:tr>
        <w:tblPrEx>
          <w:tblCellMar>
            <w:top w:w="15" w:type="dxa"/>
            <w:left w:w="15" w:type="dxa"/>
            <w:bottom w:w="15" w:type="dxa"/>
            <w:right w:w="15" w:type="dxa"/>
          </w:tblCellMar>
        </w:tblPrEx>
        <w:trPr>
          <w:trHeight w:val="705" w:hRule="atLeast"/>
          <w:tblCellSpacing w:w="0" w:type="dxa"/>
          <w:jc w:val="center"/>
        </w:trPr>
        <w:tc>
          <w:tcPr>
            <w:tcW w:w="430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
              <w:widowControl/>
              <w:spacing w:before="225" w:after="225" w:line="420" w:lineRule="atLeast"/>
              <w:ind w:firstLine="420"/>
              <w:jc w:val="both"/>
              <w:rPr>
                <w:rFonts w:ascii="仿宋" w:hAnsi="仿宋" w:eastAsia="仿宋" w:cs="仿宋"/>
                <w:sz w:val="32"/>
                <w:szCs w:val="32"/>
              </w:rPr>
            </w:pPr>
            <w:r>
              <w:rPr>
                <w:rFonts w:hint="eastAsia" w:ascii="仿宋" w:hAnsi="仿宋" w:eastAsia="仿宋" w:cs="仿宋"/>
                <w:sz w:val="32"/>
                <w:szCs w:val="32"/>
              </w:rPr>
              <w:t>     (2)公务用车购置费</w:t>
            </w:r>
          </w:p>
        </w:tc>
        <w:tc>
          <w:tcPr>
            <w:tcW w:w="185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 w:hAnsi="仿宋" w:eastAsia="仿宋" w:cs="仿宋"/>
                <w:sz w:val="32"/>
                <w:szCs w:val="32"/>
              </w:rPr>
            </w:pPr>
            <w:r>
              <w:rPr>
                <w:rFonts w:hint="eastAsia" w:ascii="仿宋" w:hAnsi="仿宋" w:eastAsia="仿宋" w:cs="仿宋"/>
                <w:kern w:val="0"/>
                <w:sz w:val="32"/>
                <w:szCs w:val="32"/>
              </w:rPr>
              <w:t>0</w:t>
            </w:r>
          </w:p>
        </w:tc>
        <w:tc>
          <w:tcPr>
            <w:tcW w:w="198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
              <w:widowControl/>
              <w:spacing w:before="225" w:after="225" w:line="420" w:lineRule="atLeast"/>
              <w:ind w:firstLine="420"/>
              <w:jc w:val="center"/>
              <w:rPr>
                <w:rFonts w:ascii="仿宋" w:hAnsi="仿宋" w:eastAsia="仿宋" w:cs="仿宋"/>
                <w:sz w:val="32"/>
                <w:szCs w:val="32"/>
              </w:rPr>
            </w:pPr>
            <w:r>
              <w:rPr>
                <w:rFonts w:hint="eastAsia" w:ascii="仿宋" w:hAnsi="仿宋" w:eastAsia="仿宋" w:cs="仿宋"/>
                <w:sz w:val="32"/>
                <w:szCs w:val="32"/>
              </w:rPr>
              <w:t>0</w:t>
            </w:r>
          </w:p>
        </w:tc>
        <w:tc>
          <w:tcPr>
            <w:tcW w:w="11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仿宋" w:hAnsi="仿宋" w:eastAsia="仿宋" w:cs="仿宋"/>
                <w:sz w:val="32"/>
                <w:szCs w:val="32"/>
              </w:rPr>
            </w:pPr>
          </w:p>
        </w:tc>
      </w:tr>
    </w:tbl>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年度“三公”经费支出</w:t>
      </w:r>
      <w:r>
        <w:rPr>
          <w:rFonts w:hint="eastAsia" w:ascii="仿宋" w:hAnsi="仿宋" w:eastAsia="仿宋" w:cs="仿宋"/>
          <w:sz w:val="32"/>
          <w:szCs w:val="32"/>
          <w:lang w:val="en-US" w:eastAsia="zh-CN"/>
        </w:rPr>
        <w:t>19.5</w:t>
      </w:r>
      <w:r>
        <w:rPr>
          <w:rFonts w:hint="eastAsia" w:ascii="仿宋" w:hAnsi="仿宋" w:eastAsia="仿宋" w:cs="仿宋"/>
          <w:sz w:val="32"/>
          <w:szCs w:val="32"/>
        </w:rPr>
        <w:t>万元,具体如下:</w:t>
      </w:r>
    </w:p>
    <w:p>
      <w:pPr>
        <w:pStyle w:val="5"/>
        <w:widowControl/>
        <w:spacing w:before="226" w:after="226" w:line="420" w:lineRule="atLeast"/>
        <w:ind w:left="420" w:firstLine="640" w:firstLineChars="200"/>
        <w:jc w:val="both"/>
        <w:rPr>
          <w:rFonts w:hint="eastAsia" w:ascii="仿宋" w:hAnsi="仿宋" w:eastAsia="仿宋" w:cs="仿宋"/>
          <w:sz w:val="32"/>
          <w:szCs w:val="32"/>
        </w:rPr>
      </w:pPr>
      <w:r>
        <w:rPr>
          <w:rFonts w:hint="eastAsia" w:ascii="仿宋" w:hAnsi="仿宋" w:eastAsia="仿宋" w:cs="仿宋"/>
          <w:sz w:val="32"/>
          <w:szCs w:val="32"/>
        </w:rPr>
        <w:t>1.因公出国(境)费0万元。2.公务接待费</w:t>
      </w:r>
      <w:r>
        <w:rPr>
          <w:rFonts w:hint="eastAsia" w:ascii="仿宋" w:hAnsi="仿宋" w:eastAsia="仿宋" w:cs="仿宋"/>
          <w:sz w:val="32"/>
          <w:szCs w:val="32"/>
          <w:lang w:val="en-US" w:eastAsia="zh-CN"/>
        </w:rPr>
        <w:t>1.92</w:t>
      </w:r>
      <w:r>
        <w:rPr>
          <w:rFonts w:hint="eastAsia" w:ascii="仿宋" w:hAnsi="仿宋" w:eastAsia="仿宋" w:cs="仿宋"/>
          <w:sz w:val="32"/>
          <w:szCs w:val="32"/>
        </w:rPr>
        <w:t>万元。</w:t>
      </w:r>
    </w:p>
    <w:p>
      <w:pPr>
        <w:pStyle w:val="5"/>
        <w:widowControl/>
        <w:spacing w:before="226" w:after="226" w:line="420" w:lineRule="atLeast"/>
        <w:ind w:left="420" w:firstLine="640" w:firstLineChars="200"/>
        <w:jc w:val="both"/>
        <w:rPr>
          <w:rFonts w:ascii="仿宋" w:hAnsi="仿宋" w:eastAsia="仿宋" w:cs="仿宋"/>
          <w:sz w:val="32"/>
          <w:szCs w:val="32"/>
        </w:rPr>
      </w:pPr>
      <w:r>
        <w:rPr>
          <w:rFonts w:hint="eastAsia" w:ascii="仿宋" w:hAnsi="仿宋" w:eastAsia="仿宋" w:cs="仿宋"/>
          <w:sz w:val="32"/>
          <w:szCs w:val="32"/>
        </w:rPr>
        <w:t>3.公务用车经费</w:t>
      </w:r>
      <w:r>
        <w:rPr>
          <w:rFonts w:hint="eastAsia" w:ascii="仿宋" w:hAnsi="仿宋" w:eastAsia="仿宋" w:cs="仿宋"/>
          <w:sz w:val="32"/>
          <w:szCs w:val="32"/>
          <w:lang w:val="en-US" w:eastAsia="zh-CN"/>
        </w:rPr>
        <w:t>17.58</w:t>
      </w:r>
      <w:r>
        <w:rPr>
          <w:rFonts w:hint="eastAsia" w:ascii="仿宋" w:hAnsi="仿宋" w:eastAsia="仿宋" w:cs="仿宋"/>
          <w:sz w:val="32"/>
          <w:szCs w:val="32"/>
        </w:rPr>
        <w:t>万元，</w:t>
      </w:r>
      <w:r>
        <w:rPr>
          <w:rFonts w:hint="eastAsia" w:ascii="仿宋" w:hAnsi="仿宋" w:eastAsia="仿宋" w:cs="仿宋"/>
          <w:sz w:val="32"/>
          <w:szCs w:val="32"/>
          <w:lang w:eastAsia="zh-CN"/>
        </w:rPr>
        <w:t>比上年减少</w:t>
      </w:r>
      <w:r>
        <w:rPr>
          <w:rFonts w:hint="eastAsia" w:ascii="仿宋" w:hAnsi="仿宋" w:eastAsia="仿宋" w:cs="仿宋"/>
          <w:sz w:val="32"/>
          <w:szCs w:val="32"/>
          <w:lang w:val="en-US" w:eastAsia="zh-CN"/>
        </w:rPr>
        <w:t>4.59万元。</w:t>
      </w:r>
      <w:r>
        <w:rPr>
          <w:rFonts w:hint="eastAsia" w:ascii="仿宋" w:hAnsi="仿宋" w:eastAsia="仿宋" w:cs="仿宋"/>
          <w:sz w:val="32"/>
          <w:szCs w:val="32"/>
        </w:rPr>
        <w:t>均为公务用车运行支出,主要用于因公出行、下村各项工作检查、送县上出差人员所需的车辆燃料费、维修费、保险费等支出。</w:t>
      </w:r>
    </w:p>
    <w:p>
      <w:pPr>
        <w:pStyle w:val="5"/>
        <w:widowControl/>
        <w:spacing w:before="226" w:after="226" w:line="420" w:lineRule="atLeast"/>
        <w:ind w:left="420"/>
        <w:jc w:val="both"/>
        <w:rPr>
          <w:rFonts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年度机关运行情况说明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年度尼玛县文部乡机关工资福利支出</w:t>
      </w:r>
      <w:r>
        <w:rPr>
          <w:rFonts w:hint="eastAsia" w:ascii="仿宋" w:hAnsi="仿宋" w:eastAsia="仿宋" w:cs="仿宋"/>
          <w:sz w:val="32"/>
          <w:szCs w:val="32"/>
          <w:lang w:val="en-US" w:eastAsia="zh-CN"/>
        </w:rPr>
        <w:t>1610.05</w:t>
      </w:r>
      <w:r>
        <w:rPr>
          <w:rFonts w:hint="eastAsia" w:ascii="仿宋" w:hAnsi="仿宋" w:eastAsia="仿宋" w:cs="仿宋"/>
          <w:sz w:val="32"/>
          <w:szCs w:val="32"/>
        </w:rPr>
        <w:t>万元；文部乡机关商品和服务支出</w:t>
      </w:r>
      <w:r>
        <w:rPr>
          <w:rFonts w:hint="eastAsia" w:ascii="仿宋" w:hAnsi="仿宋" w:eastAsia="仿宋" w:cs="仿宋"/>
          <w:sz w:val="32"/>
          <w:szCs w:val="32"/>
          <w:lang w:val="en-US" w:eastAsia="zh-CN"/>
        </w:rPr>
        <w:t>100.61</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29.92万元。</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(二)机关运行经费预算的内容。</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年度尼玛县文部乡机关运行经费支出</w:t>
      </w:r>
      <w:r>
        <w:rPr>
          <w:rFonts w:hint="eastAsia" w:ascii="仿宋" w:hAnsi="仿宋" w:eastAsia="仿宋" w:cs="仿宋"/>
          <w:sz w:val="32"/>
          <w:szCs w:val="32"/>
          <w:lang w:val="en-US" w:eastAsia="zh-CN"/>
        </w:rPr>
        <w:t>1740.58</w:t>
      </w:r>
      <w:r>
        <w:rPr>
          <w:rFonts w:hint="eastAsia" w:ascii="仿宋" w:hAnsi="仿宋" w:eastAsia="仿宋" w:cs="仿宋"/>
          <w:sz w:val="32"/>
          <w:szCs w:val="32"/>
        </w:rPr>
        <w:t>万元。其中:文部乡机关工资福利支出</w:t>
      </w:r>
      <w:r>
        <w:rPr>
          <w:rFonts w:hint="eastAsia" w:ascii="仿宋" w:hAnsi="仿宋" w:eastAsia="仿宋" w:cs="仿宋"/>
          <w:sz w:val="32"/>
          <w:szCs w:val="32"/>
          <w:lang w:val="en-US" w:eastAsia="zh-CN"/>
        </w:rPr>
        <w:t>1610.05</w:t>
      </w:r>
      <w:r>
        <w:rPr>
          <w:rFonts w:hint="eastAsia" w:ascii="仿宋" w:hAnsi="仿宋" w:eastAsia="仿宋" w:cs="仿宋"/>
          <w:sz w:val="32"/>
          <w:szCs w:val="32"/>
        </w:rPr>
        <w:t>万元,主要包括基本工资、津贴补贴、奖金、伙食补助费、其他社会保障缴费、机关事业单位基本养老保险缴费、生活补助、医疗费、住房补贴、住房公积金、其他工资福利支出、其他对个人和家庭的补助支出等;文部乡机关商品和服务支出</w:t>
      </w:r>
      <w:r>
        <w:rPr>
          <w:rFonts w:hint="eastAsia" w:ascii="仿宋" w:hAnsi="仿宋" w:eastAsia="仿宋" w:cs="仿宋"/>
          <w:sz w:val="32"/>
          <w:szCs w:val="32"/>
          <w:lang w:val="en-US" w:eastAsia="zh-CN"/>
        </w:rPr>
        <w:t>100.61</w:t>
      </w:r>
      <w:r>
        <w:rPr>
          <w:rFonts w:hint="eastAsia" w:ascii="仿宋" w:hAnsi="仿宋" w:eastAsia="仿宋" w:cs="仿宋"/>
          <w:sz w:val="32"/>
          <w:szCs w:val="32"/>
        </w:rPr>
        <w:t>万元,主要包括办公费、印刷费、水费、电费、邮电费、取暖费、差旅费、维修(护)费、会议费、培训费、公务接待费、工会经费、福利费、公务用车运行维护费、其他交通费、其他商品和服务支出等,包括财务软件维护费。</w:t>
      </w:r>
      <w:r>
        <w:rPr>
          <w:rFonts w:hint="eastAsia" w:ascii="仿宋" w:hAnsi="仿宋" w:eastAsia="仿宋" w:cs="仿宋"/>
          <w:sz w:val="32"/>
          <w:szCs w:val="32"/>
          <w:lang w:eastAsia="zh-CN"/>
        </w:rPr>
        <w:t>文部乡项目支出</w:t>
      </w:r>
      <w:r>
        <w:rPr>
          <w:rFonts w:hint="eastAsia" w:ascii="仿宋" w:hAnsi="仿宋" w:eastAsia="仿宋" w:cs="仿宋"/>
          <w:sz w:val="32"/>
          <w:szCs w:val="32"/>
          <w:lang w:val="en-US" w:eastAsia="zh-CN"/>
        </w:rPr>
        <w:t>29.92万元，主要是村干部基本报酬及村监督委员基本报酬、基层政权组织经费等。</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七、政府采购情况说明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尼玛县文部乡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年度未安排专项政府采购预算。</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八、国有资产占有使用情况</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年12月31日，国有资产总值</w:t>
      </w:r>
      <w:r>
        <w:rPr>
          <w:rFonts w:hint="eastAsia" w:ascii="仿宋" w:hAnsi="仿宋" w:eastAsia="仿宋" w:cs="仿宋"/>
          <w:sz w:val="32"/>
          <w:szCs w:val="32"/>
          <w:lang w:val="en-US" w:eastAsia="zh-CN"/>
        </w:rPr>
        <w:t>1859.91</w:t>
      </w:r>
      <w:r>
        <w:rPr>
          <w:rFonts w:hint="eastAsia" w:ascii="仿宋" w:hAnsi="仿宋" w:eastAsia="仿宋" w:cs="仿宋"/>
          <w:sz w:val="32"/>
          <w:szCs w:val="32"/>
        </w:rPr>
        <w:t>万元，其中：流动资产</w:t>
      </w:r>
      <w:r>
        <w:rPr>
          <w:rFonts w:hint="eastAsia" w:ascii="仿宋" w:hAnsi="仿宋" w:eastAsia="仿宋" w:cs="仿宋"/>
          <w:sz w:val="32"/>
          <w:szCs w:val="32"/>
          <w:lang w:val="en-US" w:eastAsia="zh-CN"/>
        </w:rPr>
        <w:t>137.37</w:t>
      </w:r>
      <w:r>
        <w:rPr>
          <w:rFonts w:hint="eastAsia" w:ascii="仿宋" w:hAnsi="仿宋" w:eastAsia="仿宋" w:cs="仿宋"/>
          <w:sz w:val="32"/>
          <w:szCs w:val="32"/>
        </w:rPr>
        <w:t>万元，固定资产</w:t>
      </w:r>
      <w:r>
        <w:rPr>
          <w:rFonts w:hint="eastAsia" w:ascii="仿宋" w:hAnsi="仿宋" w:eastAsia="仿宋" w:cs="仿宋"/>
          <w:sz w:val="32"/>
          <w:szCs w:val="32"/>
          <w:lang w:val="en-US" w:eastAsia="zh-CN"/>
        </w:rPr>
        <w:t>1722.54</w:t>
      </w:r>
      <w:r>
        <w:rPr>
          <w:rFonts w:hint="eastAsia" w:ascii="仿宋" w:hAnsi="仿宋" w:eastAsia="仿宋" w:cs="仿宋"/>
          <w:sz w:val="32"/>
          <w:szCs w:val="32"/>
        </w:rPr>
        <w:t>万元。</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固定资产中：房屋8082.43平方米，账面价值1469.42万元；车辆8辆，账面价值147.48万元；其他资产</w:t>
      </w:r>
      <w:r>
        <w:rPr>
          <w:rFonts w:hint="eastAsia" w:ascii="仿宋" w:hAnsi="仿宋" w:eastAsia="仿宋" w:cs="仿宋"/>
          <w:sz w:val="32"/>
          <w:szCs w:val="32"/>
          <w:lang w:val="en-US" w:eastAsia="zh-CN"/>
        </w:rPr>
        <w:t>243.01</w:t>
      </w:r>
      <w:r>
        <w:rPr>
          <w:rFonts w:hint="eastAsia" w:ascii="仿宋" w:hAnsi="仿宋" w:eastAsia="仿宋" w:cs="仿宋"/>
          <w:sz w:val="32"/>
          <w:szCs w:val="32"/>
        </w:rPr>
        <w:t>万元。</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九、预算绩效情况说明</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尼玛县文部乡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年未实行预算绩效。</w:t>
      </w:r>
    </w:p>
    <w:p>
      <w:pPr>
        <w:pStyle w:val="5"/>
        <w:widowControl/>
        <w:spacing w:before="226" w:after="226" w:line="420" w:lineRule="atLeast"/>
        <w:ind w:left="420"/>
        <w:jc w:val="both"/>
        <w:rPr>
          <w:rFonts w:ascii="仿宋" w:hAnsi="仿宋" w:eastAsia="仿宋" w:cs="仿宋"/>
          <w:sz w:val="32"/>
          <w:szCs w:val="32"/>
        </w:rPr>
      </w:pPr>
      <w:r>
        <w:rPr>
          <w:rFonts w:hint="eastAsia" w:ascii="仿宋" w:hAnsi="仿宋" w:eastAsia="仿宋" w:cs="仿宋"/>
          <w:sz w:val="32"/>
          <w:szCs w:val="32"/>
        </w:rPr>
        <w:t>十、其他重要事项说明</w:t>
      </w:r>
    </w:p>
    <w:p>
      <w:pPr>
        <w:pStyle w:val="5"/>
        <w:widowControl/>
        <w:spacing w:before="225" w:after="300" w:line="450" w:lineRule="atLeast"/>
        <w:ind w:left="525"/>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年度尼玛县文部乡没有安排政府性基金预算支出，不存在政府性债务。</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第四部分 名词解释</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一、财政拨款收入,指上级财政当年拨付的资金。</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二、其他收入,指上述“财政拨款收入”。</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三、财政事务:指财政事务方面的支出有、关具体事务包括行政管理、机关服务、预算改革业务、财政国库业务、财务监督、信息化建设、政府委托业务等。</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四、行政运行支出:指行政单位(包括实行公务员管理的事业单位)的基本支出。</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五、一般行政管理事务:反映行政单位(包括实行公务员管理的事业单位)未单独设置项级科目的其他项目支出。</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六、年末结转和结余:指以前年度预算支出未完成,按照有关规定结转到当年或以后年度继续使用的资金。</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七、基本支出:指为保障机构正常运转、完成日常工作任务而发生的人员支出和共用支出。</w:t>
      </w:r>
    </w:p>
    <w:p>
      <w:pPr>
        <w:pStyle w:val="5"/>
        <w:widowControl/>
        <w:spacing w:before="226" w:after="226" w:line="420" w:lineRule="atLeast"/>
        <w:ind w:firstLine="420"/>
        <w:jc w:val="both"/>
        <w:rPr>
          <w:rFonts w:ascii="仿宋" w:hAnsi="仿宋" w:eastAsia="仿宋" w:cs="仿宋"/>
          <w:sz w:val="32"/>
          <w:szCs w:val="32"/>
        </w:rPr>
      </w:pPr>
      <w:r>
        <w:rPr>
          <w:rFonts w:hint="eastAsia" w:ascii="仿宋" w:hAnsi="仿宋" w:eastAsia="仿宋" w:cs="仿宋"/>
          <w:sz w:val="32"/>
          <w:szCs w:val="32"/>
        </w:rPr>
        <w:t>八、项目支出:指在基本支出之外为了完成特定的行政任务和事业目标所发生的支出。</w:t>
      </w:r>
    </w:p>
    <w:p>
      <w:pPr>
        <w:pStyle w:val="2"/>
        <w:widowControl/>
        <w:jc w:val="center"/>
        <w:rPr>
          <w:rFonts w:hint="default" w:ascii="仿宋" w:hAnsi="仿宋" w:eastAsia="仿宋" w:cs="仿宋"/>
          <w:sz w:val="32"/>
          <w:szCs w:val="32"/>
        </w:rPr>
      </w:pPr>
    </w:p>
    <w:p>
      <w:pPr>
        <w:pStyle w:val="2"/>
        <w:widowControl/>
        <w:jc w:val="center"/>
        <w:rPr>
          <w:rFonts w:hint="default" w:ascii="仿宋" w:hAnsi="仿宋" w:eastAsia="仿宋" w:cs="仿宋"/>
          <w:sz w:val="32"/>
          <w:szCs w:val="32"/>
        </w:rPr>
      </w:pPr>
    </w:p>
    <w:p>
      <w:pPr>
        <w:pStyle w:val="2"/>
        <w:widowControl/>
        <w:jc w:val="center"/>
        <w:rPr>
          <w:rFonts w:hint="default" w:ascii="仿宋" w:hAnsi="仿宋" w:eastAsia="仿宋" w:cs="仿宋"/>
          <w:sz w:val="32"/>
          <w:szCs w:val="32"/>
        </w:rPr>
      </w:pPr>
    </w:p>
    <w:p>
      <w:pPr>
        <w:pStyle w:val="2"/>
        <w:widowControl/>
        <w:jc w:val="center"/>
        <w:rPr>
          <w:rFonts w:hint="default" w:ascii="仿宋" w:hAnsi="仿宋" w:eastAsia="仿宋" w:cs="仿宋"/>
          <w:sz w:val="32"/>
          <w:szCs w:val="32"/>
        </w:rPr>
      </w:pPr>
    </w:p>
    <w:p>
      <w:pPr>
        <w:pStyle w:val="2"/>
        <w:widowControl/>
        <w:jc w:val="center"/>
        <w:rPr>
          <w:rFonts w:hint="default" w:ascii="仿宋" w:hAnsi="仿宋" w:eastAsia="仿宋" w:cs="仿宋"/>
          <w:sz w:val="32"/>
          <w:szCs w:val="32"/>
        </w:rPr>
      </w:pPr>
    </w:p>
    <w:p>
      <w:pPr>
        <w:pStyle w:val="2"/>
        <w:widowControl/>
        <w:jc w:val="center"/>
        <w:rPr>
          <w:rFonts w:hint="default" w:ascii="仿宋" w:hAnsi="仿宋" w:eastAsia="仿宋" w:cs="仿宋"/>
          <w:sz w:val="32"/>
          <w:szCs w:val="32"/>
        </w:rPr>
      </w:pPr>
    </w:p>
    <w:p>
      <w:pPr>
        <w:pStyle w:val="2"/>
        <w:widowControl/>
        <w:jc w:val="center"/>
        <w:rPr>
          <w:rFonts w:hint="default" w:ascii="仿宋" w:hAnsi="仿宋" w:eastAsia="仿宋" w:cs="仿宋"/>
          <w:sz w:val="32"/>
          <w:szCs w:val="32"/>
        </w:rPr>
      </w:pPr>
    </w:p>
    <w:p>
      <w:pPr>
        <w:pStyle w:val="2"/>
        <w:widowControl/>
        <w:jc w:val="center"/>
        <w:rPr>
          <w:rFonts w:hint="default" w:ascii="仿宋" w:hAnsi="仿宋" w:eastAsia="仿宋" w:cs="仿宋"/>
          <w:sz w:val="32"/>
          <w:szCs w:val="32"/>
        </w:rPr>
      </w:pPr>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M4avSfUAQAAsgMAAA4AAAAAAAAAAQAgAAAAHgEA&#10;AGRycy9lMm9Eb2MueG1sUEsFBgAAAAAGAAYAWQEAAGQFAAAAAA==&#10;">
              <v:fill on="f" focussize="0,0"/>
              <v:stroke on="f"/>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YjViNGY2NDUxN2Q2MDNkN2NhZDg3MTNlZDYzNzQifQ=="/>
  </w:docVars>
  <w:rsids>
    <w:rsidRoot w:val="00D55CE9"/>
    <w:rsid w:val="0003336B"/>
    <w:rsid w:val="001D10C9"/>
    <w:rsid w:val="002A05D2"/>
    <w:rsid w:val="00436DE7"/>
    <w:rsid w:val="006D00C2"/>
    <w:rsid w:val="00865603"/>
    <w:rsid w:val="00874840"/>
    <w:rsid w:val="00946999"/>
    <w:rsid w:val="00A12E4F"/>
    <w:rsid w:val="00A962AA"/>
    <w:rsid w:val="00BA5725"/>
    <w:rsid w:val="00D35EA5"/>
    <w:rsid w:val="00D55CE9"/>
    <w:rsid w:val="00E602A3"/>
    <w:rsid w:val="00FC6819"/>
    <w:rsid w:val="01E93310"/>
    <w:rsid w:val="02A21B7E"/>
    <w:rsid w:val="038D2976"/>
    <w:rsid w:val="040707FF"/>
    <w:rsid w:val="048F4687"/>
    <w:rsid w:val="04EF580D"/>
    <w:rsid w:val="05ED3234"/>
    <w:rsid w:val="06BD1A95"/>
    <w:rsid w:val="072B2356"/>
    <w:rsid w:val="09325D9F"/>
    <w:rsid w:val="0A5338D8"/>
    <w:rsid w:val="0A965609"/>
    <w:rsid w:val="0CFF7781"/>
    <w:rsid w:val="0F543F4C"/>
    <w:rsid w:val="0F6433DF"/>
    <w:rsid w:val="0FBF75B4"/>
    <w:rsid w:val="10802AE0"/>
    <w:rsid w:val="12A45760"/>
    <w:rsid w:val="136E6755"/>
    <w:rsid w:val="17D40899"/>
    <w:rsid w:val="19794DB9"/>
    <w:rsid w:val="1BA12187"/>
    <w:rsid w:val="1BA83235"/>
    <w:rsid w:val="1BE3117B"/>
    <w:rsid w:val="1C265172"/>
    <w:rsid w:val="1C756EF1"/>
    <w:rsid w:val="1D4F0EDD"/>
    <w:rsid w:val="1D82028C"/>
    <w:rsid w:val="1DD96F23"/>
    <w:rsid w:val="1E555F7D"/>
    <w:rsid w:val="1EB355C0"/>
    <w:rsid w:val="1EC6335C"/>
    <w:rsid w:val="1F8A7126"/>
    <w:rsid w:val="1FC65626"/>
    <w:rsid w:val="21034D26"/>
    <w:rsid w:val="23475DB7"/>
    <w:rsid w:val="24AF5F8E"/>
    <w:rsid w:val="258905AE"/>
    <w:rsid w:val="2593619B"/>
    <w:rsid w:val="25A537EA"/>
    <w:rsid w:val="25AA0342"/>
    <w:rsid w:val="25AB58C9"/>
    <w:rsid w:val="26AC4AFC"/>
    <w:rsid w:val="270D601D"/>
    <w:rsid w:val="283C1462"/>
    <w:rsid w:val="29DA10BF"/>
    <w:rsid w:val="2A6D75E4"/>
    <w:rsid w:val="2BBF2EB8"/>
    <w:rsid w:val="2C4E3BEE"/>
    <w:rsid w:val="2E26444C"/>
    <w:rsid w:val="2F5B8690"/>
    <w:rsid w:val="2FE11773"/>
    <w:rsid w:val="320931DC"/>
    <w:rsid w:val="33B73A15"/>
    <w:rsid w:val="33C978CA"/>
    <w:rsid w:val="34EC1894"/>
    <w:rsid w:val="35BE3F96"/>
    <w:rsid w:val="367270C9"/>
    <w:rsid w:val="37C8216E"/>
    <w:rsid w:val="38890144"/>
    <w:rsid w:val="38A249BF"/>
    <w:rsid w:val="3B341AAE"/>
    <w:rsid w:val="3B7B4D1D"/>
    <w:rsid w:val="3B8D3425"/>
    <w:rsid w:val="3C667CF2"/>
    <w:rsid w:val="3C8F404A"/>
    <w:rsid w:val="3D0C5A1B"/>
    <w:rsid w:val="3D5B621F"/>
    <w:rsid w:val="3D6D70F1"/>
    <w:rsid w:val="3F5956C0"/>
    <w:rsid w:val="3F9CC0A1"/>
    <w:rsid w:val="3F9F020B"/>
    <w:rsid w:val="3FA15C3C"/>
    <w:rsid w:val="3FA41FDE"/>
    <w:rsid w:val="40003D79"/>
    <w:rsid w:val="401A4A62"/>
    <w:rsid w:val="417E6D53"/>
    <w:rsid w:val="42016CC0"/>
    <w:rsid w:val="4344474A"/>
    <w:rsid w:val="47D178E4"/>
    <w:rsid w:val="48A55263"/>
    <w:rsid w:val="4A3D18FA"/>
    <w:rsid w:val="4A93043B"/>
    <w:rsid w:val="4B5851BA"/>
    <w:rsid w:val="4CA324B3"/>
    <w:rsid w:val="4DAD10C1"/>
    <w:rsid w:val="4DF76132"/>
    <w:rsid w:val="4E243AAA"/>
    <w:rsid w:val="4F191088"/>
    <w:rsid w:val="4FF2B0EF"/>
    <w:rsid w:val="52216BB7"/>
    <w:rsid w:val="52CC257C"/>
    <w:rsid w:val="54A51BF5"/>
    <w:rsid w:val="55F348D1"/>
    <w:rsid w:val="565C0B06"/>
    <w:rsid w:val="56DB2223"/>
    <w:rsid w:val="57BF421D"/>
    <w:rsid w:val="58495477"/>
    <w:rsid w:val="599F4F07"/>
    <w:rsid w:val="5BC02D93"/>
    <w:rsid w:val="5BC54F9A"/>
    <w:rsid w:val="5BE7631C"/>
    <w:rsid w:val="5BF0436B"/>
    <w:rsid w:val="5BFD9A49"/>
    <w:rsid w:val="5C4F4FA3"/>
    <w:rsid w:val="5CD06043"/>
    <w:rsid w:val="5DC25864"/>
    <w:rsid w:val="5F395C82"/>
    <w:rsid w:val="5FC9458A"/>
    <w:rsid w:val="5FF9D311"/>
    <w:rsid w:val="609F64FD"/>
    <w:rsid w:val="60B276E4"/>
    <w:rsid w:val="62321289"/>
    <w:rsid w:val="65C91D13"/>
    <w:rsid w:val="66F62EAF"/>
    <w:rsid w:val="68177B62"/>
    <w:rsid w:val="68297E84"/>
    <w:rsid w:val="692C589F"/>
    <w:rsid w:val="69491DCE"/>
    <w:rsid w:val="6AEE90F0"/>
    <w:rsid w:val="6AFD10C4"/>
    <w:rsid w:val="6B153ADE"/>
    <w:rsid w:val="6D6FD3AD"/>
    <w:rsid w:val="6E4E5F59"/>
    <w:rsid w:val="6E531B7D"/>
    <w:rsid w:val="6EDE20F2"/>
    <w:rsid w:val="6F3D70BE"/>
    <w:rsid w:val="70281428"/>
    <w:rsid w:val="70EB47B2"/>
    <w:rsid w:val="71EB0DAC"/>
    <w:rsid w:val="74761740"/>
    <w:rsid w:val="74BC65A2"/>
    <w:rsid w:val="75780447"/>
    <w:rsid w:val="75BD25A4"/>
    <w:rsid w:val="7657D170"/>
    <w:rsid w:val="76D35119"/>
    <w:rsid w:val="77065812"/>
    <w:rsid w:val="77593D6E"/>
    <w:rsid w:val="775FB7D4"/>
    <w:rsid w:val="777B51E7"/>
    <w:rsid w:val="77807A78"/>
    <w:rsid w:val="77CB5A11"/>
    <w:rsid w:val="77EA1568"/>
    <w:rsid w:val="77F4168E"/>
    <w:rsid w:val="79276246"/>
    <w:rsid w:val="795A096F"/>
    <w:rsid w:val="796A2134"/>
    <w:rsid w:val="7A6A504D"/>
    <w:rsid w:val="7A7F8055"/>
    <w:rsid w:val="7AC47794"/>
    <w:rsid w:val="7B655D93"/>
    <w:rsid w:val="7BFD87CB"/>
    <w:rsid w:val="7C371DD4"/>
    <w:rsid w:val="7C8F2B03"/>
    <w:rsid w:val="7CC822D7"/>
    <w:rsid w:val="7DD619C4"/>
    <w:rsid w:val="7E1F0054"/>
    <w:rsid w:val="7EA3DF9D"/>
    <w:rsid w:val="7EA82548"/>
    <w:rsid w:val="7EF6D6DC"/>
    <w:rsid w:val="7F7B03E2"/>
    <w:rsid w:val="7FDCC069"/>
    <w:rsid w:val="7FDF0FAE"/>
    <w:rsid w:val="7FEEF853"/>
    <w:rsid w:val="9B792FA0"/>
    <w:rsid w:val="ABE66B93"/>
    <w:rsid w:val="AE7DC225"/>
    <w:rsid w:val="AF9E2D9C"/>
    <w:rsid w:val="AFFE581D"/>
    <w:rsid w:val="AFFF7079"/>
    <w:rsid w:val="B36C4202"/>
    <w:rsid w:val="B85F653C"/>
    <w:rsid w:val="BB763DBB"/>
    <w:rsid w:val="BDBD9B85"/>
    <w:rsid w:val="BF5BE48C"/>
    <w:rsid w:val="BFFDE6B8"/>
    <w:rsid w:val="DAFC27A4"/>
    <w:rsid w:val="DD9EBAFC"/>
    <w:rsid w:val="DDFF204B"/>
    <w:rsid w:val="E7E536AE"/>
    <w:rsid w:val="EF7E9AE4"/>
    <w:rsid w:val="EFECE27A"/>
    <w:rsid w:val="EFFF1B87"/>
    <w:rsid w:val="F5DFEE76"/>
    <w:rsid w:val="FAADD43B"/>
    <w:rsid w:val="FBF4D891"/>
    <w:rsid w:val="FBFFFA53"/>
    <w:rsid w:val="FCAC3910"/>
    <w:rsid w:val="FD7ED141"/>
    <w:rsid w:val="FD9B2523"/>
    <w:rsid w:val="FE6C1F37"/>
    <w:rsid w:val="FE7FAA27"/>
    <w:rsid w:val="FFBA754A"/>
    <w:rsid w:val="FFCB6E0A"/>
    <w:rsid w:val="FFD35222"/>
    <w:rsid w:val="FFEB1E5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b/>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5">
    <w:name w:val="Normal (Web)"/>
    <w:basedOn w:val="1"/>
    <w:qFormat/>
    <w:uiPriority w:val="0"/>
    <w:pPr>
      <w:jc w:val="left"/>
    </w:pPr>
    <w:rPr>
      <w:kern w:val="0"/>
      <w:sz w:val="24"/>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character" w:customStyle="1" w:styleId="10">
    <w:name w:val="index"/>
    <w:basedOn w:val="7"/>
    <w:qFormat/>
    <w:uiPriority w:val="0"/>
  </w:style>
  <w:style w:type="character" w:customStyle="1" w:styleId="11">
    <w:name w:val="cur"/>
    <w:basedOn w:val="7"/>
    <w:qFormat/>
    <w:uiPriority w:val="0"/>
    <w:rPr>
      <w:b/>
      <w:color w:val="B21112"/>
      <w:bdr w:val="single" w:color="E4EAF2" w:sz="6" w:space="0"/>
      <w:shd w:val="clear" w:color="auto" w:fill="FFFFFF"/>
    </w:rPr>
  </w:style>
  <w:style w:type="character" w:customStyle="1" w:styleId="12">
    <w:name w:val="wher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2951</Words>
  <Characters>3260</Characters>
  <Lines>23</Lines>
  <Paragraphs>6</Paragraphs>
  <TotalTime>13</TotalTime>
  <ScaleCrop>false</ScaleCrop>
  <LinksUpToDate>false</LinksUpToDate>
  <CharactersWithSpaces>3358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Administrator</cp:lastModifiedBy>
  <cp:lastPrinted>2019-05-08T12:08:00Z</cp:lastPrinted>
  <dcterms:modified xsi:type="dcterms:W3CDTF">2023-03-27T02:36:32Z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336BA09384FE43C88489D7E9333FB500</vt:lpwstr>
  </property>
</Properties>
</file>