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225" w:beforeAutospacing="0" w:after="300" w:afterAutospacing="0" w:line="450" w:lineRule="atLeast"/>
        <w:ind w:firstLine="525"/>
        <w:jc w:val="center"/>
        <w:rPr>
          <w:rFonts w:ascii="黑体" w:hAnsi="黑体" w:eastAsia="黑体" w:cs="黑体"/>
          <w:color w:val="000000"/>
          <w:sz w:val="36"/>
          <w:szCs w:val="36"/>
        </w:rPr>
      </w:pPr>
      <w:r>
        <w:rPr>
          <w:rStyle w:val="7"/>
          <w:rFonts w:hint="eastAsia" w:ascii="黑体" w:hAnsi="黑体" w:eastAsia="黑体" w:cs="黑体"/>
          <w:color w:val="000000"/>
          <w:sz w:val="36"/>
          <w:szCs w:val="36"/>
        </w:rPr>
        <w:t>尼玛县</w:t>
      </w:r>
      <w:r>
        <w:rPr>
          <w:rStyle w:val="7"/>
          <w:rFonts w:hint="eastAsia" w:ascii="黑体" w:hAnsi="黑体" w:eastAsia="黑体" w:cs="黑体"/>
          <w:color w:val="000000"/>
          <w:sz w:val="36"/>
          <w:szCs w:val="36"/>
          <w:lang w:eastAsia="zh-CN"/>
        </w:rPr>
        <w:t>融媒体中心</w:t>
      </w:r>
      <w:r>
        <w:rPr>
          <w:rStyle w:val="7"/>
          <w:rFonts w:hint="eastAsia" w:ascii="黑体" w:hAnsi="黑体" w:eastAsia="黑体" w:cs="黑体"/>
          <w:color w:val="000000"/>
          <w:sz w:val="36"/>
          <w:szCs w:val="36"/>
        </w:rPr>
        <w:t>202</w:t>
      </w:r>
      <w:r>
        <w:rPr>
          <w:rStyle w:val="7"/>
          <w:rFonts w:hint="eastAsia" w:ascii="黑体" w:hAnsi="黑体" w:eastAsia="黑体" w:cs="黑体"/>
          <w:color w:val="000000"/>
          <w:sz w:val="36"/>
          <w:szCs w:val="36"/>
          <w:lang w:val="en-US" w:eastAsia="zh-CN"/>
        </w:rPr>
        <w:t>4</w:t>
      </w:r>
      <w:r>
        <w:rPr>
          <w:rStyle w:val="7"/>
          <w:rFonts w:hint="eastAsia" w:ascii="黑体" w:hAnsi="黑体" w:eastAsia="黑体" w:cs="黑体"/>
          <w:color w:val="000000"/>
          <w:sz w:val="36"/>
          <w:szCs w:val="36"/>
        </w:rPr>
        <w:t>年度部门预算公开说明</w:t>
      </w:r>
    </w:p>
    <w:p>
      <w:pPr>
        <w:pStyle w:val="4"/>
        <w:widowControl/>
        <w:spacing w:before="225" w:beforeAutospacing="0" w:after="300" w:afterAutospacing="0" w:line="450" w:lineRule="atLeast"/>
        <w:ind w:firstLine="525"/>
        <w:jc w:val="center"/>
        <w:rPr>
          <w:rFonts w:ascii="微软雅黑" w:hAnsi="微软雅黑" w:eastAsia="微软雅黑" w:cs="微软雅黑"/>
          <w:color w:val="000000"/>
          <w:sz w:val="25"/>
          <w:szCs w:val="25"/>
        </w:rPr>
      </w:pPr>
      <w:r>
        <w:rPr>
          <w:rStyle w:val="7"/>
          <w:rFonts w:hint="eastAsia" w:ascii="微软雅黑" w:hAnsi="微软雅黑" w:eastAsia="微软雅黑" w:cs="微软雅黑"/>
          <w:color w:val="000000"/>
          <w:sz w:val="25"/>
          <w:szCs w:val="25"/>
        </w:rPr>
        <w:t>202</w:t>
      </w:r>
      <w:r>
        <w:rPr>
          <w:rStyle w:val="7"/>
          <w:rFonts w:hint="eastAsia" w:ascii="微软雅黑" w:hAnsi="微软雅黑" w:eastAsia="微软雅黑" w:cs="微软雅黑"/>
          <w:color w:val="000000"/>
          <w:sz w:val="25"/>
          <w:szCs w:val="25"/>
          <w:lang w:val="en-US" w:eastAsia="zh-CN"/>
        </w:rPr>
        <w:t>4</w:t>
      </w:r>
      <w:r>
        <w:rPr>
          <w:rStyle w:val="7"/>
          <w:rFonts w:hint="eastAsia" w:ascii="微软雅黑" w:hAnsi="微软雅黑" w:eastAsia="微软雅黑" w:cs="微软雅黑"/>
          <w:color w:val="000000"/>
          <w:sz w:val="25"/>
          <w:szCs w:val="25"/>
        </w:rPr>
        <w:t>年</w:t>
      </w:r>
      <w:r>
        <w:rPr>
          <w:rStyle w:val="7"/>
          <w:rFonts w:hint="eastAsia" w:ascii="微软雅黑" w:hAnsi="微软雅黑" w:eastAsia="微软雅黑" w:cs="微软雅黑"/>
          <w:color w:val="000000"/>
          <w:sz w:val="25"/>
          <w:szCs w:val="25"/>
          <w:lang w:val="en-US" w:eastAsia="zh-CN"/>
        </w:rPr>
        <w:t>2月7</w:t>
      </w:r>
      <w:r>
        <w:rPr>
          <w:rStyle w:val="7"/>
          <w:rFonts w:hint="eastAsia" w:ascii="微软雅黑" w:hAnsi="微软雅黑" w:eastAsia="微软雅黑" w:cs="微软雅黑"/>
          <w:color w:val="000000"/>
          <w:sz w:val="25"/>
          <w:szCs w:val="25"/>
        </w:rPr>
        <w:t>日</w:t>
      </w:r>
    </w:p>
    <w:p>
      <w:pPr>
        <w:rPr>
          <w:rFonts w:hint="eastAsia" w:ascii="黑体" w:hAnsi="黑体" w:eastAsia="黑体" w:cs="Times New Roman"/>
          <w:sz w:val="32"/>
          <w:szCs w:val="32"/>
          <w:lang w:bidi="ar-SA"/>
        </w:rPr>
      </w:pPr>
      <w:r>
        <w:rPr>
          <w:rFonts w:hint="eastAsia" w:ascii="黑体" w:hAnsi="黑体" w:eastAsia="黑体" w:cs="Times New Roman"/>
          <w:sz w:val="32"/>
          <w:szCs w:val="32"/>
          <w:lang w:bidi="ar-SA"/>
        </w:rPr>
        <w:t>目录</w:t>
      </w:r>
    </w:p>
    <w:p>
      <w:pPr>
        <w:rPr>
          <w:rFonts w:hint="eastAsia" w:ascii="黑体" w:hAnsi="黑体" w:eastAsia="黑体" w:cs="Times New Roman"/>
          <w:sz w:val="32"/>
          <w:szCs w:val="32"/>
          <w:lang w:bidi="ar-SA"/>
        </w:rPr>
      </w:pPr>
      <w:r>
        <w:rPr>
          <w:rFonts w:hint="eastAsia" w:ascii="方正小标宋简体" w:hAnsi="仿宋" w:eastAsia="方正小标宋简体"/>
          <w:sz w:val="32"/>
          <w:szCs w:val="32"/>
        </w:rPr>
        <w:t xml:space="preserve">第一部分  </w:t>
      </w:r>
      <w:r>
        <w:rPr>
          <w:rFonts w:hint="eastAsia" w:ascii="黑体" w:hAnsi="黑体" w:eastAsia="黑体" w:cs="Times New Roman"/>
          <w:sz w:val="32"/>
          <w:szCs w:val="32"/>
          <w:lang w:bidi="ar-SA"/>
        </w:rPr>
        <w:t xml:space="preserve"> 尼玛县</w:t>
      </w:r>
      <w:r>
        <w:rPr>
          <w:rFonts w:hint="eastAsia" w:ascii="黑体" w:hAnsi="黑体" w:eastAsia="黑体" w:cs="Times New Roman"/>
          <w:sz w:val="32"/>
          <w:szCs w:val="32"/>
          <w:lang w:eastAsia="zh-CN" w:bidi="ar-SA"/>
        </w:rPr>
        <w:t>融媒体中心</w:t>
      </w:r>
      <w:r>
        <w:rPr>
          <w:rFonts w:hint="eastAsia" w:ascii="黑体" w:hAnsi="黑体" w:eastAsia="黑体" w:cs="Times New Roman"/>
          <w:sz w:val="32"/>
          <w:szCs w:val="32"/>
          <w:lang w:bidi="ar-SA"/>
        </w:rPr>
        <w:t>概况</w:t>
      </w:r>
    </w:p>
    <w:p>
      <w:pPr>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部门预算单位机构</w:t>
      </w:r>
    </w:p>
    <w:p>
      <w:pPr>
        <w:rPr>
          <w:rFonts w:ascii="黑体" w:hAnsi="黑体" w:eastAsia="黑体"/>
          <w:sz w:val="32"/>
          <w:szCs w:val="32"/>
        </w:rPr>
      </w:pPr>
      <w:r>
        <w:rPr>
          <w:rFonts w:hint="eastAsia" w:ascii="黑体" w:hAnsi="黑体" w:eastAsia="黑体"/>
          <w:sz w:val="32"/>
          <w:szCs w:val="32"/>
        </w:rPr>
        <w:t>二、主要职</w:t>
      </w:r>
      <w:r>
        <w:rPr>
          <w:rFonts w:hint="eastAsia" w:ascii="黑体" w:hAnsi="黑体" w:eastAsia="黑体"/>
          <w:sz w:val="32"/>
          <w:szCs w:val="32"/>
          <w:lang w:eastAsia="zh-CN"/>
        </w:rPr>
        <w:t>责</w:t>
      </w:r>
    </w:p>
    <w:p>
      <w:pPr>
        <w:rPr>
          <w:rFonts w:hint="eastAsia" w:ascii="黑体" w:hAnsi="黑体" w:eastAsia="黑体"/>
          <w:sz w:val="32"/>
          <w:szCs w:val="32"/>
          <w:lang w:eastAsia="zh-CN"/>
        </w:rPr>
      </w:pPr>
      <w:r>
        <w:rPr>
          <w:rFonts w:hint="eastAsia" w:ascii="黑体" w:hAnsi="黑体" w:eastAsia="黑体"/>
          <w:sz w:val="32"/>
          <w:szCs w:val="32"/>
          <w:lang w:eastAsia="zh-CN"/>
        </w:rPr>
        <w:t>三、机构设置</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融媒体中心</w:t>
      </w:r>
      <w:r>
        <w:rPr>
          <w:rFonts w:hint="eastAsia" w:ascii="方正小标宋简体" w:hAnsi="仿宋" w:eastAsia="方正小标宋简体"/>
          <w:sz w:val="32"/>
          <w:szCs w:val="32"/>
          <w:lang w:val="en-US" w:eastAsia="zh-CN"/>
        </w:rPr>
        <w:t>2024年</w:t>
      </w:r>
      <w:r>
        <w:rPr>
          <w:rFonts w:hint="eastAsia" w:ascii="方正小标宋简体" w:hAnsi="仿宋" w:eastAsia="方正小标宋简体"/>
          <w:sz w:val="32"/>
          <w:szCs w:val="32"/>
        </w:rPr>
        <w:t>预算</w:t>
      </w:r>
      <w:r>
        <w:rPr>
          <w:rFonts w:hint="eastAsia" w:ascii="方正小标宋简体" w:hAnsi="仿宋" w:eastAsia="方正小标宋简体"/>
          <w:sz w:val="32"/>
          <w:szCs w:val="32"/>
          <w:lang w:eastAsia="zh-CN"/>
        </w:rPr>
        <w:t>公开</w:t>
      </w:r>
      <w:r>
        <w:rPr>
          <w:rFonts w:hint="eastAsia" w:ascii="方正小标宋简体" w:hAnsi="仿宋" w:eastAsia="方正小标宋简体"/>
          <w:sz w:val="32"/>
          <w:szCs w:val="32"/>
        </w:rPr>
        <w:t>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融媒体中心</w:t>
      </w:r>
      <w:r>
        <w:rPr>
          <w:rFonts w:hint="eastAsia" w:ascii="方正小标宋简体" w:hAnsi="仿宋" w:eastAsia="方正小标宋简体"/>
          <w:sz w:val="32"/>
          <w:szCs w:val="32"/>
          <w:lang w:val="en-US" w:eastAsia="zh-CN"/>
        </w:rPr>
        <w:t>2024年</w:t>
      </w:r>
      <w:r>
        <w:rPr>
          <w:rFonts w:hint="eastAsia" w:ascii="方正小标宋简体" w:hAnsi="仿宋" w:eastAsia="方正小标宋简体"/>
          <w:sz w:val="32"/>
          <w:szCs w:val="32"/>
        </w:rPr>
        <w:t>预算数据分析</w:t>
      </w:r>
    </w:p>
    <w:p>
      <w:pPr>
        <w:rPr>
          <w:rFonts w:hint="eastAsia" w:ascii="楷体" w:hAnsi="楷体" w:eastAsia="楷体" w:cs="Times New Roman"/>
          <w:kern w:val="2"/>
          <w:sz w:val="32"/>
          <w:szCs w:val="32"/>
          <w:lang w:val="en-US" w:eastAsia="zh-CN" w:bidi="ar-SA"/>
        </w:rPr>
      </w:pPr>
      <w:r>
        <w:rPr>
          <w:rFonts w:hint="eastAsia" w:ascii="黑体" w:hAnsi="黑体" w:eastAsia="黑体"/>
          <w:sz w:val="32"/>
          <w:szCs w:val="32"/>
        </w:rPr>
        <w:t>一、</w:t>
      </w:r>
      <w:r>
        <w:rPr>
          <w:rFonts w:hint="eastAsia" w:ascii="方正小标宋简体" w:hAnsi="仿宋" w:eastAsia="方正小标宋简体"/>
          <w:sz w:val="32"/>
          <w:szCs w:val="32"/>
          <w:lang w:val="en-US" w:eastAsia="zh-CN"/>
        </w:rPr>
        <w:t>2024年度财政拨款收支预算情况总体说明</w:t>
      </w:r>
      <w:r>
        <w:rPr>
          <w:rFonts w:hint="eastAsia" w:ascii="楷体" w:hAnsi="楷体" w:eastAsia="楷体" w:cs="Times New Roman"/>
          <w:kern w:val="2"/>
          <w:sz w:val="32"/>
          <w:szCs w:val="32"/>
          <w:lang w:val="en-US" w:eastAsia="zh-CN" w:bidi="ar-SA"/>
        </w:rPr>
        <w:t>。</w:t>
      </w:r>
    </w:p>
    <w:p>
      <w:pPr>
        <w:rPr>
          <w:rFonts w:hint="eastAsia" w:ascii="楷体" w:hAnsi="楷体" w:eastAsia="楷体" w:cs="Times New Roman"/>
          <w:kern w:val="2"/>
          <w:sz w:val="32"/>
          <w:szCs w:val="32"/>
          <w:lang w:val="en-US" w:eastAsia="zh-CN" w:bidi="ar-SA"/>
        </w:rPr>
      </w:pPr>
      <w:r>
        <w:rPr>
          <w:rFonts w:hint="eastAsia" w:ascii="方正小标宋简体" w:hAnsi="仿宋" w:eastAsia="方正小标宋简体"/>
          <w:sz w:val="32"/>
          <w:szCs w:val="32"/>
          <w:lang w:val="en-US" w:eastAsia="zh-CN"/>
        </w:rPr>
        <w:t>二、2024年度支出总体情况说明。</w:t>
      </w:r>
    </w:p>
    <w:p>
      <w:pPr>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三、2024年度政府性基金预算支出情况说明。</w:t>
      </w:r>
    </w:p>
    <w:p>
      <w:pPr>
        <w:rPr>
          <w:rFonts w:hint="eastAsia" w:ascii="方正小标宋简体" w:hAnsi="仿宋" w:eastAsia="方正小标宋简体" w:cs="Times New Roman"/>
          <w:kern w:val="2"/>
          <w:sz w:val="32"/>
          <w:szCs w:val="32"/>
          <w:lang w:val="en-US" w:eastAsia="zh-CN" w:bidi="ar-SA"/>
        </w:rPr>
      </w:pPr>
      <w:r>
        <w:rPr>
          <w:rFonts w:hint="eastAsia" w:ascii="黑体" w:hAnsi="黑体" w:eastAsia="黑体"/>
          <w:sz w:val="32"/>
          <w:szCs w:val="32"/>
        </w:rPr>
        <w:t>四、</w:t>
      </w:r>
      <w:r>
        <w:rPr>
          <w:rFonts w:hint="eastAsia" w:ascii="方正小标宋简体" w:hAnsi="仿宋" w:eastAsia="方正小标宋简体" w:cs="Times New Roman"/>
          <w:kern w:val="2"/>
          <w:sz w:val="32"/>
          <w:szCs w:val="32"/>
          <w:lang w:val="en-US" w:eastAsia="zh-CN" w:bidi="ar-SA"/>
        </w:rPr>
        <w:t>2024年度财政拨款收支总体情况。</w:t>
      </w:r>
    </w:p>
    <w:p>
      <w:pPr>
        <w:rPr>
          <w:rFonts w:ascii="黑体" w:hAnsi="黑体" w:eastAsia="黑体"/>
          <w:sz w:val="32"/>
          <w:szCs w:val="32"/>
        </w:rPr>
      </w:pPr>
      <w:r>
        <w:rPr>
          <w:rFonts w:hint="eastAsia" w:ascii="黑体" w:hAnsi="黑体" w:eastAsia="黑体"/>
          <w:sz w:val="32"/>
          <w:szCs w:val="32"/>
        </w:rPr>
        <w:t>五、一般公共预算支出总体情况</w:t>
      </w:r>
      <w:r>
        <w:rPr>
          <w:rFonts w:hint="eastAsia" w:ascii="楷体" w:hAnsi="楷体" w:eastAsia="楷体" w:cs="Times New Roman"/>
          <w:kern w:val="2"/>
          <w:sz w:val="32"/>
          <w:szCs w:val="32"/>
          <w:lang w:val="en-US" w:eastAsia="zh-CN" w:bidi="ar-SA"/>
        </w:rPr>
        <w:t>。</w:t>
      </w:r>
    </w:p>
    <w:p>
      <w:pPr>
        <w:rPr>
          <w:rFonts w:hint="eastAsia" w:ascii="楷体" w:hAnsi="楷体" w:eastAsia="楷体" w:cs="Times New Roman"/>
          <w:kern w:val="2"/>
          <w:sz w:val="32"/>
          <w:szCs w:val="32"/>
          <w:lang w:val="en-US" w:eastAsia="zh-CN" w:bidi="ar-SA"/>
        </w:rPr>
      </w:pPr>
      <w:r>
        <w:rPr>
          <w:rFonts w:hint="eastAsia" w:ascii="黑体" w:hAnsi="黑体" w:eastAsia="黑体"/>
          <w:sz w:val="32"/>
          <w:szCs w:val="32"/>
        </w:rPr>
        <w:t>六、一般公共预算基本支出总体情况</w:t>
      </w:r>
      <w:r>
        <w:rPr>
          <w:rFonts w:hint="eastAsia" w:ascii="黑体" w:hAnsi="黑体" w:eastAsia="黑体"/>
          <w:sz w:val="32"/>
          <w:szCs w:val="32"/>
          <w:lang w:val="en-US" w:eastAsia="zh-CN"/>
        </w:rPr>
        <w:t xml:space="preserve"> </w:t>
      </w:r>
      <w:r>
        <w:rPr>
          <w:rFonts w:hint="eastAsia" w:ascii="楷体" w:hAnsi="楷体" w:eastAsia="楷体" w:cs="Times New Roman"/>
          <w:kern w:val="2"/>
          <w:sz w:val="32"/>
          <w:szCs w:val="32"/>
          <w:lang w:val="en-US" w:eastAsia="zh-CN" w:bidi="ar-SA"/>
        </w:rPr>
        <w:t>。</w:t>
      </w:r>
    </w:p>
    <w:p>
      <w:pPr>
        <w:rPr>
          <w:rFonts w:hint="eastAsia" w:ascii="仿宋" w:hAnsi="仿宋" w:eastAsia="仿宋" w:cs="Times New Roman"/>
          <w:kern w:val="2"/>
          <w:sz w:val="32"/>
          <w:szCs w:val="32"/>
          <w:lang w:val="en-US" w:eastAsia="zh-CN" w:bidi="ar-SA"/>
        </w:rPr>
      </w:pPr>
      <w:r>
        <w:rPr>
          <w:rFonts w:hint="eastAsia" w:ascii="黑体" w:hAnsi="黑体" w:eastAsia="黑体"/>
          <w:sz w:val="32"/>
          <w:szCs w:val="32"/>
        </w:rPr>
        <w:t>七、一般公共预算“三公”经费预算总体情况</w:t>
      </w:r>
      <w:r>
        <w:rPr>
          <w:rFonts w:hint="eastAsia" w:ascii="楷体" w:hAnsi="楷体" w:eastAsia="楷体" w:cs="Times New Roman"/>
          <w:kern w:val="2"/>
          <w:sz w:val="32"/>
          <w:szCs w:val="32"/>
          <w:lang w:val="en-US" w:eastAsia="zh-CN" w:bidi="ar-SA"/>
        </w:rPr>
        <w:t>。</w:t>
      </w:r>
    </w:p>
    <w:p>
      <w:pPr>
        <w:rPr>
          <w:rFonts w:hint="eastAsia" w:ascii="黑体" w:hAnsi="黑体" w:eastAsia="黑体"/>
          <w:sz w:val="32"/>
          <w:szCs w:val="32"/>
          <w:lang w:eastAsia="zh-CN"/>
        </w:rPr>
      </w:pPr>
      <w:r>
        <w:rPr>
          <w:rFonts w:hint="eastAsia" w:ascii="黑体" w:hAnsi="黑体" w:eastAsia="黑体"/>
          <w:sz w:val="32"/>
          <w:szCs w:val="32"/>
        </w:rPr>
        <w:t>八、政府性基金预算支出总体情况</w:t>
      </w:r>
      <w:r>
        <w:rPr>
          <w:rFonts w:hint="eastAsia" w:ascii="黑体" w:hAnsi="黑体" w:eastAsia="黑体"/>
          <w:sz w:val="32"/>
          <w:szCs w:val="32"/>
          <w:lang w:eastAsia="zh-CN"/>
        </w:rPr>
        <w:t>。</w:t>
      </w:r>
    </w:p>
    <w:p>
      <w:pPr>
        <w:rPr>
          <w:rFonts w:hint="eastAsia" w:ascii="黑体" w:hAnsi="黑体" w:eastAsia="黑体"/>
          <w:sz w:val="32"/>
          <w:szCs w:val="32"/>
          <w:lang w:eastAsia="zh-CN"/>
        </w:rPr>
      </w:pPr>
      <w:r>
        <w:rPr>
          <w:rFonts w:hint="eastAsia" w:ascii="黑体" w:hAnsi="黑体" w:eastAsia="黑体"/>
          <w:sz w:val="32"/>
          <w:szCs w:val="32"/>
        </w:rPr>
        <w:t>九、政府性基金“三公”经费支出总体情况</w:t>
      </w:r>
      <w:r>
        <w:rPr>
          <w:rFonts w:hint="eastAsia" w:ascii="黑体" w:hAnsi="黑体" w:eastAsia="黑体"/>
          <w:sz w:val="32"/>
          <w:szCs w:val="32"/>
          <w:lang w:eastAsia="zh-CN"/>
        </w:rPr>
        <w:t>。</w:t>
      </w:r>
    </w:p>
    <w:p>
      <w:pPr>
        <w:rPr>
          <w:rFonts w:hint="eastAsia" w:ascii="黑体" w:hAnsi="黑体" w:eastAsia="黑体"/>
          <w:sz w:val="32"/>
          <w:szCs w:val="32"/>
          <w:lang w:eastAsia="zh-CN"/>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r>
        <w:rPr>
          <w:rFonts w:hint="eastAsia" w:ascii="黑体" w:hAnsi="黑体" w:eastAsia="黑体"/>
          <w:sz w:val="32"/>
          <w:szCs w:val="32"/>
          <w:lang w:eastAsia="zh-CN"/>
        </w:rPr>
        <w:t>。</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hint="eastAsia" w:ascii="黑体" w:hAnsi="黑体" w:eastAsia="黑体" w:cs="Times New Roman"/>
          <w:sz w:val="32"/>
          <w:szCs w:val="32"/>
          <w:lang w:bidi="ar-SA"/>
        </w:rPr>
      </w:pPr>
    </w:p>
    <w:p>
      <w:pPr>
        <w:numPr>
          <w:ilvl w:val="0"/>
          <w:numId w:val="1"/>
        </w:numPr>
        <w:jc w:val="center"/>
        <w:rPr>
          <w:rFonts w:hint="eastAsia" w:ascii="方正小标宋简体" w:hAnsi="仿宋" w:eastAsia="方正小标宋简体" w:cs="Times New Roman"/>
          <w:sz w:val="32"/>
          <w:szCs w:val="32"/>
          <w:lang w:bidi="ar-SA"/>
        </w:rPr>
      </w:pPr>
      <w:r>
        <w:rPr>
          <w:rFonts w:hint="eastAsia" w:ascii="方正小标宋简体" w:hAnsi="仿宋" w:eastAsia="方正小标宋简体" w:cs="Times New Roman"/>
          <w:sz w:val="32"/>
          <w:szCs w:val="32"/>
          <w:lang w:bidi="ar-SA"/>
        </w:rPr>
        <w:t>概况</w:t>
      </w:r>
    </w:p>
    <w:p>
      <w:pPr>
        <w:numPr>
          <w:ilvl w:val="0"/>
          <w:numId w:val="0"/>
        </w:numPr>
        <w:jc w:val="both"/>
        <w:rPr>
          <w:rFonts w:hint="eastAsia" w:ascii="方正小标宋简体" w:hAnsi="仿宋" w:eastAsia="方正小标宋简体" w:cs="Times New Roman"/>
          <w:sz w:val="32"/>
          <w:szCs w:val="32"/>
          <w:lang w:bidi="ar-SA"/>
        </w:rPr>
      </w:pPr>
      <w:r>
        <w:rPr>
          <w:rFonts w:hint="eastAsia" w:ascii="方正小标宋简体" w:hAnsi="仿宋" w:eastAsia="方正小标宋简体" w:cs="Times New Roman"/>
          <w:sz w:val="32"/>
          <w:szCs w:val="32"/>
          <w:lang w:bidi="ar-SA"/>
        </w:rPr>
        <w:t>一、部门预算单位构成</w:t>
      </w:r>
    </w:p>
    <w:p>
      <w:pPr>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融媒体中心属于宣传部主管的事业单位，2024年人员编制20人，实有人数23人，其中：副科2人，专技人员16人，后勤工人3名、公益性2名，聘用工1名，实有在职人数24人，其中区内22人、区外4人，我中心共设置办公室、调频广播站机房值机组、摄像记者组、播音主持组、财务室、新闻合成编辑组、新媒体组、藏汉翻译组、电影放映队等内设机构。我中心财政认可1辆皮卡车。</w:t>
      </w:r>
    </w:p>
    <w:p>
      <w:pPr>
        <w:pStyle w:val="4"/>
        <w:widowControl/>
        <w:spacing w:before="225" w:beforeAutospacing="0" w:after="300" w:afterAutospacing="0" w:line="450" w:lineRule="atLeast"/>
        <w:ind w:firstLine="525"/>
        <w:rPr>
          <w:rFonts w:hint="eastAsia" w:ascii="方正小标宋简体" w:hAnsi="仿宋" w:eastAsia="方正小标宋简体" w:cs="Times New Roman"/>
          <w:kern w:val="2"/>
          <w:sz w:val="32"/>
          <w:szCs w:val="32"/>
          <w:lang w:val="en-US" w:eastAsia="zh-CN" w:bidi="ar-SA"/>
        </w:rPr>
      </w:pPr>
      <w:r>
        <w:rPr>
          <w:rFonts w:hint="eastAsia" w:ascii="方正小标宋简体" w:hAnsi="仿宋" w:eastAsia="方正小标宋简体" w:cs="Times New Roman"/>
          <w:kern w:val="2"/>
          <w:sz w:val="32"/>
          <w:szCs w:val="32"/>
          <w:lang w:val="en-US" w:eastAsia="zh-CN" w:bidi="ar-SA"/>
        </w:rPr>
        <w:t>二、部门职责</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1.贯彻执行党和政府在新闻宣传影视文化方面的路线方针政策,把握正确舆论导向,充分发挥党和政府的喉舌作用,围绕县委县政府的中心工作开展新闻宣传,发挥舆论监督作用,不断提高节目质量。</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2.根据自治区和市发展广播电视事业的总体规划,负责拟订并组织实施全县广播电视事业和产业发展规划,促进广播电视事业和产业发展,负责广播电视重大项目建设。</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3.严格执行广播电视行业法规,按照有关章程,抓好內部管理,按规定完整转播自治区和市广播电视台节目。</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按照法律法规以自治区和市的统筹规划宏观政策对广播电视,县域有线数字电视进行规划以及广播电视台有线数字电视覆盖建设,维护等工作,指导实施基础设施建设和改造工作,按照支配的广播电视频率,频道和功率等技术参数,做好广播电视的传输覆盖工作,负责广播电视节目安全播出,技术保障和设备设施的安全防范工作。</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加强融媒体中心宣传工作,确定各时期宣传工作的指导思想和报道重点,组织重大宣传报道活动负责广播电视节目的采编制播及广播电视节目交流,负责自办节目的策划采制审查包装,一经播出编排和管理工作,不断提高节目质量。</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6.加强融媒体中心队伍的思想建设,作风建设和组织建设,开展职工思想政治工作新闻职业道德教育和业务培训提高职工综合素质。</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7.承办县委,县政府及上级主管部门交办的其他任务和经批准的相关业务</w:t>
      </w:r>
    </w:p>
    <w:p>
      <w:pPr>
        <w:pStyle w:val="4"/>
        <w:widowControl/>
        <w:spacing w:before="225" w:beforeAutospacing="0" w:after="300" w:afterAutospacing="0" w:line="450" w:lineRule="atLeast"/>
        <w:ind w:firstLine="525"/>
        <w:rPr>
          <w:rFonts w:hint="eastAsia" w:ascii="方正小标宋简体" w:hAnsi="仿宋" w:eastAsia="方正小标宋简体" w:cs="Times New Roman"/>
          <w:kern w:val="2"/>
          <w:sz w:val="32"/>
          <w:szCs w:val="32"/>
          <w:lang w:val="en-US" w:eastAsia="zh-CN" w:bidi="ar-SA"/>
        </w:rPr>
      </w:pPr>
      <w:r>
        <w:rPr>
          <w:rFonts w:hint="eastAsia" w:ascii="仿宋" w:hAnsi="仿宋" w:eastAsia="仿宋" w:cs="Times New Roman"/>
          <w:kern w:val="2"/>
          <w:sz w:val="32"/>
          <w:szCs w:val="32"/>
          <w:lang w:val="en-US" w:eastAsia="zh-CN" w:bidi="ar-SA"/>
        </w:rPr>
        <w:t>8.承担全县数字电影放映工程工作丰富农牧区基层群众精神文化。</w:t>
      </w:r>
    </w:p>
    <w:p>
      <w:pPr>
        <w:pStyle w:val="4"/>
        <w:widowControl/>
        <w:spacing w:before="225" w:beforeAutospacing="0" w:after="300" w:afterAutospacing="0" w:line="450" w:lineRule="atLeast"/>
        <w:ind w:firstLine="525"/>
        <w:rPr>
          <w:rFonts w:hint="eastAsia" w:ascii="方正小标宋简体" w:hAnsi="仿宋" w:eastAsia="方正小标宋简体" w:cs="Times New Roman"/>
          <w:kern w:val="2"/>
          <w:sz w:val="32"/>
          <w:szCs w:val="32"/>
          <w:lang w:val="en-US" w:eastAsia="zh-CN" w:bidi="ar-SA"/>
        </w:rPr>
      </w:pPr>
      <w:r>
        <w:rPr>
          <w:rFonts w:hint="eastAsia" w:ascii="方正小标宋简体" w:hAnsi="仿宋" w:eastAsia="方正小标宋简体" w:cs="Times New Roman"/>
          <w:kern w:val="2"/>
          <w:sz w:val="32"/>
          <w:szCs w:val="32"/>
          <w:lang w:val="en-US" w:eastAsia="zh-CN" w:bidi="ar-SA"/>
        </w:rPr>
        <w:t>三、机构设置</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融媒体中心属于宣传部主管的事业单位，2024年人员编制20人，实有人数23人，其中：副科2人，专技人员16人，后勤工人3名、公益性2名，聘用工1名，实有在职人数24人，其中区内21人、区外3人，我中心共设置办公室、调频广播站机房值机组、摄像记者组、播音主持组、财务室、新闻合成编辑组、新媒体组、藏汉翻译组、电影放映队等内设机构。我中心财政认可1辆皮卡车。</w:t>
      </w:r>
    </w:p>
    <w:p>
      <w:pPr>
        <w:pStyle w:val="4"/>
        <w:widowControl/>
        <w:spacing w:before="225" w:beforeAutospacing="0" w:after="300" w:afterAutospacing="0" w:line="450" w:lineRule="atLeast"/>
        <w:ind w:firstLine="525"/>
        <w:rPr>
          <w:rFonts w:hint="eastAsia" w:ascii="方正小标宋简体" w:hAnsi="仿宋" w:eastAsia="方正小标宋简体" w:cs="Times New Roman"/>
          <w:kern w:val="2"/>
          <w:sz w:val="32"/>
          <w:szCs w:val="32"/>
          <w:lang w:val="en-US" w:eastAsia="zh-CN" w:bidi="ar-SA"/>
        </w:rPr>
      </w:pPr>
    </w:p>
    <w:p>
      <w:pPr>
        <w:pStyle w:val="4"/>
        <w:widowControl/>
        <w:spacing w:before="225" w:beforeAutospacing="0" w:after="300" w:afterAutospacing="0" w:line="450" w:lineRule="atLeast"/>
        <w:ind w:firstLine="525"/>
        <w:jc w:val="center"/>
        <w:rPr>
          <w:rFonts w:hint="eastAsia" w:ascii="方正小标宋简体" w:hAnsi="仿宋" w:eastAsia="方正小标宋简体" w:cs="Times New Roman"/>
          <w:kern w:val="2"/>
          <w:sz w:val="32"/>
          <w:szCs w:val="32"/>
          <w:lang w:val="en-US" w:eastAsia="zh-CN" w:bidi="ar-SA"/>
        </w:rPr>
      </w:pPr>
      <w:r>
        <w:rPr>
          <w:rFonts w:hint="eastAsia" w:ascii="方正小标宋简体" w:hAnsi="仿宋" w:eastAsia="方正小标宋简体" w:cs="Times New Roman"/>
          <w:kern w:val="2"/>
          <w:sz w:val="32"/>
          <w:szCs w:val="32"/>
          <w:lang w:val="en-US" w:eastAsia="zh-CN" w:bidi="ar-SA"/>
        </w:rPr>
        <w:t>第二部分 融媒体中心2024年度预算公开表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明细表详见附件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（一）2024年度部门预算数据分析</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一、2024年度财政拨款收支预算情况总体说明。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融媒体中心2024年年初预算安排为848.01万元，其中人员类支出698.27万元，商品服务支出31.50万元，工会经费8.75万元，项目支出109.49万元。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Times New Roman" w:hAnsi="Times New Roman" w:eastAsia="方正仿宋简体" w:cs="Times New Roman"/>
          <w:b w:val="0"/>
          <w:i w:val="0"/>
          <w:caps w:val="0"/>
          <w:color w:val="000000"/>
          <w:spacing w:val="0"/>
          <w:sz w:val="32"/>
          <w:szCs w:val="32"/>
        </w:rPr>
      </w:pPr>
      <w:r>
        <w:rPr>
          <w:rFonts w:hint="eastAsia" w:ascii="仿宋" w:hAnsi="仿宋" w:eastAsia="仿宋" w:cs="Times New Roman"/>
          <w:kern w:val="2"/>
          <w:sz w:val="32"/>
          <w:szCs w:val="32"/>
          <w:lang w:val="en-US" w:eastAsia="zh-CN" w:bidi="ar-SA"/>
        </w:rPr>
        <w:t>具体项目支出预算明细如下：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（1）2023年农村电影放映公益场次补贴（上级专款）14.4万元。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（2）2023年广播电视台艰苦台站津贴（县级安排）28万元。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（3）广播电视节目无线覆盖（数字）运行维护费专项经费（上级专款）31.2万元。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（4）西薪工程调频经费（上级专款）29.13万元。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（5）IP通联内网费（县级安排）4.44万元。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（6）聘用工工资2.32万元。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仿宋" w:hAnsi="仿宋" w:eastAsia="仿宋" w:cs="Times New Roman"/>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highlight w:val="none"/>
          <w:lang w:val="en-US" w:eastAsia="zh-CN" w:bidi="ar-SA"/>
        </w:rPr>
        <w:t>二、2024年度一般公共预算当年财政拨款情况说明。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（一）一般公共预算当年财政拨款规模变化情况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2024年收支总预算848.01万元，其中人员类支出698.27万元，商品服务支出31.50万元，工会经费8.75万元，项目支出109.49万元。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（二）一般公共预算当年财政拨款结构情况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2024年当年预算收入848.01万元，其中：人员类支出698.27万元，商品服务支出31.50万元，工会经费8.75万元，项目支出165.9万元。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三、2024年度一般公共预算基本支出情况说明。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人员类支出698.27万元，其中：基本工资76.48万元、津贴补贴368.71万元、奖金35.91万元，个人取暖费7.64万元、养老保险76.98万元、职工基本医疗保险41.86万元、住房公积金57.73万元、医疗费4.53万元、其他社会保障缴费2.89万元、其他工资福利支出22.89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商品服务支出40.25万元。其中：办公费4.31万元、印刷费0.22万元、电费1.10万元、邮电费1.48万元、取暖费0.50万元、维护费0.94万元、会议费1.57万元、差旅费11.11万元、培训费0.47万元、公务接待费0.31万元、公务用车维护费9.45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（三）工会经费8.75万元。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Times New Roman" w:hAnsi="Times New Roman" w:eastAsia="方正仿宋简体" w:cs="Times New Roman"/>
          <w:b w:val="0"/>
          <w:i w:val="0"/>
          <w:caps w:val="0"/>
          <w:color w:val="000000"/>
          <w:spacing w:val="0"/>
          <w:sz w:val="32"/>
          <w:szCs w:val="32"/>
        </w:rPr>
      </w:pPr>
      <w:r>
        <w:rPr>
          <w:rFonts w:hint="eastAsia" w:ascii="仿宋" w:hAnsi="仿宋" w:eastAsia="仿宋" w:cs="Times New Roman"/>
          <w:kern w:val="2"/>
          <w:sz w:val="32"/>
          <w:szCs w:val="32"/>
          <w:lang w:val="en-US" w:eastAsia="zh-CN" w:bidi="ar-SA"/>
        </w:rPr>
        <w:t>（二）、2024年度一般公共预算“三公”经费预算情况说明。三公经费总支出预算9.76万元。其中：公务接待费0.31万元、公务用车运行维护费9.45万元。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320" w:firstLineChars="1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（三）、2024年度政府性基金预算支出情况说明。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Times New Roman" w:hAnsi="Times New Roman" w:eastAsia="方正仿宋简体" w:cs="Times New Roman"/>
          <w:b w:val="0"/>
          <w:i w:val="0"/>
          <w:caps w:val="0"/>
          <w:color w:val="000000"/>
          <w:spacing w:val="0"/>
          <w:sz w:val="32"/>
          <w:szCs w:val="32"/>
        </w:rPr>
      </w:pPr>
      <w:r>
        <w:rPr>
          <w:rFonts w:hint="eastAsia" w:ascii="仿宋" w:hAnsi="仿宋" w:eastAsia="仿宋" w:cs="Times New Roman"/>
          <w:kern w:val="2"/>
          <w:sz w:val="32"/>
          <w:szCs w:val="32"/>
          <w:lang w:val="en-US" w:eastAsia="zh-CN" w:bidi="ar-SA"/>
        </w:rPr>
        <w:t>我单位2024年度无政府性基金预算支出。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（四）、2024年度收入预算情况总体说明。</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2024年预算收入总量848.01万元，同比上年减少125.36万元，主要原因是：人员变动。</w:t>
      </w:r>
    </w:p>
    <w:p>
      <w:pPr>
        <w:pStyle w:val="4"/>
        <w:widowControl/>
        <w:spacing w:before="225" w:beforeAutospacing="0" w:after="300" w:afterAutospacing="0" w:line="450" w:lineRule="atLeast"/>
        <w:ind w:firstLine="1120" w:firstLineChars="35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五、2024年度支出总体情况说明。</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支出预算总量848.01万元，同比上年减少125.36万元，主要原因是：人员变动。其中：基本支出682.11万元，基本支出占80%，项目支出20%。</w:t>
      </w:r>
    </w:p>
    <w:p>
      <w:pPr>
        <w:pStyle w:val="4"/>
        <w:widowControl/>
        <w:spacing w:before="225" w:beforeAutospacing="0" w:after="300" w:afterAutospacing="0" w:line="450" w:lineRule="atLeast"/>
        <w:ind w:firstLine="1120" w:firstLineChars="350"/>
        <w:rPr>
          <w:rFonts w:hint="eastAsia" w:ascii="仿宋" w:hAnsi="仿宋" w:eastAsia="仿宋" w:cs="Times New Roman"/>
          <w:kern w:val="2"/>
          <w:sz w:val="32"/>
          <w:szCs w:val="32"/>
          <w:lang w:val="en-US" w:eastAsia="zh-CN" w:bidi="ar-SA"/>
        </w:rPr>
      </w:pPr>
    </w:p>
    <w:p>
      <w:pPr>
        <w:pStyle w:val="4"/>
        <w:widowControl/>
        <w:spacing w:before="225" w:beforeAutospacing="0" w:after="300" w:afterAutospacing="0" w:line="450" w:lineRule="atLeast"/>
        <w:ind w:firstLine="525"/>
        <w:jc w:val="both"/>
        <w:rPr>
          <w:rFonts w:hint="eastAsia" w:ascii="方正小标宋简体" w:hAnsi="仿宋" w:eastAsia="方正小标宋简体" w:cs="Times New Roman"/>
          <w:kern w:val="2"/>
          <w:sz w:val="32"/>
          <w:szCs w:val="32"/>
          <w:lang w:val="en-US" w:eastAsia="zh-CN" w:bidi="ar-SA"/>
        </w:rPr>
      </w:pPr>
      <w:r>
        <w:rPr>
          <w:rFonts w:hint="eastAsia" w:ascii="方正小标宋简体" w:hAnsi="仿宋" w:eastAsia="方正小标宋简体" w:cs="Times New Roman"/>
          <w:kern w:val="2"/>
          <w:sz w:val="32"/>
          <w:szCs w:val="32"/>
          <w:lang w:val="en-US" w:eastAsia="zh-CN" w:bidi="ar-SA"/>
        </w:rPr>
        <w:t>四、2024年度财政拨款收支总体情况</w:t>
      </w:r>
    </w:p>
    <w:p>
      <w:pPr>
        <w:pStyle w:val="4"/>
        <w:widowControl/>
        <w:spacing w:before="225" w:beforeAutospacing="0" w:after="300" w:afterAutospacing="0" w:line="450" w:lineRule="atLeast"/>
        <w:ind w:firstLine="525"/>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财政拨款收支总预算848.01万元，比上年减少125.36万元，主要原因是：人员变动。收入全部为一般公共预算拨款、无政府性基金预算拨款。其中一般公共服务支出占80%、其他支出占20</w:t>
      </w:r>
      <w:r>
        <w:rPr>
          <w:rFonts w:hint="eastAsia" w:ascii="微软雅黑" w:hAnsi="微软雅黑" w:eastAsia="微软雅黑" w:cs="微软雅黑"/>
          <w:color w:val="000000"/>
          <w:sz w:val="25"/>
          <w:szCs w:val="25"/>
        </w:rPr>
        <w:t>%。</w:t>
      </w:r>
    </w:p>
    <w:p>
      <w:pPr>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一般公共预算当年拨款738.52万元,比2023 年执行数减少115.27万元，主要原因：人员变动。</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738.52</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lang w:val="en-US" w:eastAsia="zh-CN"/>
        </w:rPr>
        <w:t>738.52</w:t>
      </w:r>
      <w:r>
        <w:rPr>
          <w:rFonts w:hint="eastAsia" w:ascii="仿宋" w:hAnsi="仿宋" w:eastAsia="仿宋"/>
          <w:sz w:val="32"/>
          <w:szCs w:val="32"/>
        </w:rPr>
        <w:t>万元，占</w:t>
      </w:r>
      <w:r>
        <w:rPr>
          <w:rFonts w:hint="eastAsia" w:ascii="仿宋" w:hAnsi="仿宋" w:eastAsia="仿宋"/>
          <w:sz w:val="32"/>
          <w:szCs w:val="32"/>
          <w:lang w:val="en-US" w:eastAsia="zh-CN"/>
        </w:rPr>
        <w:t>80</w:t>
      </w:r>
      <w:r>
        <w:rPr>
          <w:rFonts w:hint="eastAsia" w:ascii="仿宋" w:hAnsi="仿宋" w:eastAsia="仿宋"/>
          <w:sz w:val="32"/>
          <w:szCs w:val="32"/>
        </w:rPr>
        <w:t>%</w:t>
      </w:r>
      <w:r>
        <w:rPr>
          <w:rFonts w:hint="eastAsia" w:ascii="仿宋" w:hAnsi="仿宋" w:eastAsia="仿宋" w:cs="Times New Roman"/>
          <w:kern w:val="2"/>
          <w:sz w:val="32"/>
          <w:szCs w:val="32"/>
          <w:lang w:val="en-US" w:eastAsia="zh-CN" w:bidi="ar-SA"/>
        </w:rPr>
        <w:t>。</w:t>
      </w:r>
    </w:p>
    <w:p>
      <w:pPr>
        <w:numPr>
          <w:ilvl w:val="0"/>
          <w:numId w:val="2"/>
        </w:numPr>
        <w:ind w:firstLine="640" w:firstLineChars="200"/>
        <w:rPr>
          <w:rFonts w:hint="eastAsia" w:ascii="黑体" w:hAnsi="黑体" w:eastAsia="黑体"/>
          <w:sz w:val="32"/>
          <w:szCs w:val="32"/>
          <w:lang w:val="en-US" w:eastAsia="zh-CN"/>
        </w:rPr>
      </w:pPr>
      <w:r>
        <w:rPr>
          <w:rFonts w:hint="eastAsia" w:ascii="黑体" w:hAnsi="黑体" w:eastAsia="黑体"/>
          <w:sz w:val="32"/>
          <w:szCs w:val="32"/>
        </w:rPr>
        <w:t>一般公共预算基本支出总体情况</w:t>
      </w:r>
      <w:r>
        <w:rPr>
          <w:rFonts w:hint="eastAsia" w:ascii="黑体" w:hAnsi="黑体" w:eastAsia="黑体"/>
          <w:sz w:val="32"/>
          <w:szCs w:val="32"/>
          <w:lang w:val="en-US" w:eastAsia="zh-CN"/>
        </w:rPr>
        <w:t xml:space="preserve">     </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lang w:val="en-US" w:eastAsia="zh-CN"/>
        </w:rPr>
        <w:t>738.52</w:t>
      </w:r>
      <w:r>
        <w:rPr>
          <w:rFonts w:hint="eastAsia" w:ascii="仿宋" w:hAnsi="仿宋" w:eastAsia="仿宋" w:cs="Times New Roman"/>
          <w:kern w:val="2"/>
          <w:sz w:val="32"/>
          <w:szCs w:val="32"/>
          <w:lang w:val="en-US" w:eastAsia="zh-CN" w:bidi="ar-SA"/>
        </w:rPr>
        <w:t>万元</w:t>
      </w:r>
      <w:r>
        <w:rPr>
          <w:rFonts w:hint="eastAsia" w:ascii="仿宋" w:hAnsi="仿宋" w:eastAsia="仿宋"/>
          <w:sz w:val="32"/>
          <w:szCs w:val="32"/>
        </w:rPr>
        <w:t>，其中：人员经费</w:t>
      </w:r>
      <w:r>
        <w:rPr>
          <w:rFonts w:hint="eastAsia" w:ascii="仿宋" w:hAnsi="仿宋" w:eastAsia="仿宋"/>
          <w:sz w:val="32"/>
          <w:szCs w:val="32"/>
          <w:lang w:val="en-US" w:eastAsia="zh-CN"/>
        </w:rPr>
        <w:t>698.27</w:t>
      </w:r>
      <w:r>
        <w:rPr>
          <w:rFonts w:hint="eastAsia" w:ascii="仿宋" w:hAnsi="仿宋" w:eastAsia="仿宋"/>
          <w:sz w:val="32"/>
          <w:szCs w:val="32"/>
        </w:rPr>
        <w:t>万元，主要包括：</w:t>
      </w:r>
      <w:r>
        <w:rPr>
          <w:rFonts w:hint="eastAsia" w:ascii="仿宋" w:hAnsi="仿宋" w:eastAsia="仿宋" w:cs="Times New Roman"/>
          <w:kern w:val="2"/>
          <w:sz w:val="32"/>
          <w:szCs w:val="32"/>
          <w:lang w:val="en-US" w:eastAsia="zh-CN" w:bidi="ar-SA"/>
        </w:rPr>
        <w:t>人员类支出698.27万元，其中：基本工资76.48万元、津贴补贴368.71万元、奖金35.91万元，个人取暖费7.64万元、养老保险76.98万元、职工基本医疗保险41.86万元、住房公积金57.73万元、医疗费4.53万元、其他社会保障缴费2.89万元、其他工资福利支出22.89万元</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cs="Times New Roman"/>
          <w:kern w:val="2"/>
          <w:sz w:val="32"/>
          <w:szCs w:val="32"/>
          <w:lang w:val="en-US" w:eastAsia="zh-CN" w:bidi="ar-SA"/>
        </w:rPr>
        <w:t>商品服务支出40.25万元。其中：办公费4.31万元、印刷费0.22万元、电费1.10万元、邮电费1.48万元、取暖费0.50万元、维护费0.94万元、会议费1.57万</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2024年“三公”经费预算数为</w:t>
      </w:r>
      <w:r>
        <w:rPr>
          <w:rFonts w:hint="eastAsia" w:ascii="仿宋" w:hAnsi="仿宋" w:eastAsia="仿宋"/>
          <w:sz w:val="32"/>
          <w:szCs w:val="32"/>
          <w:lang w:val="en-US" w:eastAsia="zh-CN"/>
        </w:rPr>
        <w:t>9.76万元</w:t>
      </w:r>
      <w:r>
        <w:rPr>
          <w:rFonts w:hint="eastAsia" w:ascii="仿宋" w:hAnsi="仿宋" w:eastAsia="仿宋"/>
          <w:sz w:val="32"/>
          <w:szCs w:val="32"/>
        </w:rPr>
        <w:t>，其中：因公出国（境）费</w:t>
      </w:r>
      <w:r>
        <w:rPr>
          <w:rFonts w:hint="eastAsia" w:ascii="仿宋" w:hAnsi="仿宋" w:eastAsia="仿宋"/>
          <w:sz w:val="32"/>
          <w:szCs w:val="32"/>
          <w:lang w:val="en-US" w:eastAsia="zh-CN"/>
        </w:rPr>
        <w:t>0</w:t>
      </w:r>
      <w:r>
        <w:rPr>
          <w:rFonts w:hint="eastAsia" w:ascii="仿宋" w:hAnsi="仿宋" w:eastAsia="仿宋"/>
          <w:sz w:val="32"/>
          <w:szCs w:val="32"/>
        </w:rPr>
        <w:t>万元，公务用车购置</w:t>
      </w:r>
      <w:r>
        <w:rPr>
          <w:rFonts w:hint="eastAsia" w:ascii="仿宋" w:hAnsi="仿宋" w:eastAsia="仿宋"/>
          <w:sz w:val="32"/>
          <w:szCs w:val="32"/>
          <w:lang w:val="en-US" w:eastAsia="zh-CN"/>
        </w:rPr>
        <w:t>0</w:t>
      </w:r>
      <w:r>
        <w:rPr>
          <w:rFonts w:hint="eastAsia" w:ascii="仿宋" w:hAnsi="仿宋" w:eastAsia="仿宋"/>
          <w:sz w:val="32"/>
          <w:szCs w:val="32"/>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none"/>
          <w:lang w:val="en-US" w:eastAsia="zh-CN"/>
        </w:rPr>
        <w:t>9.45</w:t>
      </w:r>
      <w:r>
        <w:rPr>
          <w:rFonts w:hint="eastAsia" w:ascii="仿宋" w:hAnsi="仿宋" w:eastAsia="仿宋"/>
          <w:sz w:val="32"/>
          <w:szCs w:val="32"/>
        </w:rPr>
        <w:t>万元，公务接待费</w:t>
      </w:r>
      <w:r>
        <w:rPr>
          <w:rFonts w:hint="eastAsia" w:ascii="仿宋" w:hAnsi="仿宋" w:eastAsia="仿宋"/>
          <w:sz w:val="32"/>
          <w:szCs w:val="32"/>
          <w:lang w:val="en-US" w:eastAsia="zh-CN"/>
        </w:rPr>
        <w:t>0.31万元</w:t>
      </w:r>
      <w:r>
        <w:rPr>
          <w:rFonts w:hint="eastAsia" w:ascii="仿宋" w:hAnsi="仿宋" w:eastAsia="仿宋"/>
          <w:sz w:val="32"/>
          <w:szCs w:val="32"/>
        </w:rPr>
        <w:t>。“三公”经费预算比2023年</w:t>
      </w:r>
      <w:r>
        <w:rPr>
          <w:rFonts w:hint="eastAsia" w:ascii="仿宋" w:hAnsi="仿宋" w:eastAsia="仿宋"/>
          <w:sz w:val="32"/>
          <w:szCs w:val="32"/>
          <w:lang w:eastAsia="zh-CN"/>
        </w:rPr>
        <w:t>减少</w:t>
      </w:r>
      <w:r>
        <w:rPr>
          <w:rFonts w:hint="eastAsia" w:ascii="仿宋" w:hAnsi="仿宋" w:eastAsia="仿宋"/>
          <w:sz w:val="32"/>
          <w:szCs w:val="32"/>
          <w:lang w:val="en-US" w:eastAsia="zh-CN"/>
        </w:rPr>
        <w:t>6.88万</w:t>
      </w:r>
      <w:r>
        <w:rPr>
          <w:rFonts w:hint="eastAsia" w:ascii="仿宋" w:hAnsi="仿宋" w:eastAsia="仿宋"/>
          <w:sz w:val="32"/>
          <w:szCs w:val="32"/>
        </w:rPr>
        <w:t>元，压缩</w:t>
      </w:r>
      <w:r>
        <w:rPr>
          <w:rFonts w:hint="eastAsia" w:ascii="仿宋" w:hAnsi="仿宋" w:eastAsia="仿宋"/>
          <w:sz w:val="32"/>
          <w:szCs w:val="32"/>
          <w:lang w:val="en-US" w:eastAsia="zh-CN"/>
        </w:rPr>
        <w:t>42%</w:t>
      </w:r>
      <w:r>
        <w:rPr>
          <w:rFonts w:hint="eastAsia" w:ascii="仿宋" w:hAnsi="仿宋" w:eastAsia="仿宋"/>
          <w:sz w:val="32"/>
          <w:szCs w:val="32"/>
        </w:rPr>
        <w:t>，主要原因</w:t>
      </w:r>
      <w:r>
        <w:rPr>
          <w:rFonts w:hint="eastAsia" w:ascii="仿宋" w:hAnsi="仿宋" w:eastAsia="仿宋"/>
          <w:sz w:val="32"/>
          <w:szCs w:val="32"/>
          <w:lang w:val="en-US" w:eastAsia="zh-CN"/>
        </w:rPr>
        <w:t>公务车出差油料费压缩。</w:t>
      </w:r>
      <w:r>
        <w:rPr>
          <w:rFonts w:hint="eastAsia" w:ascii="仿宋" w:hAnsi="仿宋" w:eastAsia="仿宋"/>
          <w:sz w:val="32"/>
          <w:szCs w:val="32"/>
        </w:rPr>
        <w:t>2024年因公出国（境）</w:t>
      </w:r>
      <w:r>
        <w:rPr>
          <w:rFonts w:hint="eastAsia" w:ascii="仿宋" w:hAnsi="仿宋" w:eastAsia="仿宋"/>
          <w:sz w:val="32"/>
          <w:szCs w:val="32"/>
          <w:lang w:val="en-US" w:eastAsia="zh-CN"/>
        </w:rPr>
        <w:t>0</w:t>
      </w:r>
      <w:r>
        <w:rPr>
          <w:rFonts w:hint="eastAsia" w:ascii="仿宋" w:hAnsi="仿宋" w:eastAsia="仿宋"/>
          <w:sz w:val="32"/>
          <w:szCs w:val="32"/>
        </w:rPr>
        <w:t>个团组、</w:t>
      </w:r>
      <w:r>
        <w:rPr>
          <w:rFonts w:hint="eastAsia" w:ascii="仿宋" w:hAnsi="仿宋" w:eastAsia="仿宋"/>
          <w:sz w:val="32"/>
          <w:szCs w:val="32"/>
          <w:lang w:val="en-US" w:eastAsia="zh-CN"/>
        </w:rPr>
        <w:t>0</w:t>
      </w:r>
      <w:r>
        <w:rPr>
          <w:rFonts w:hint="eastAsia" w:ascii="仿宋" w:hAnsi="仿宋" w:eastAsia="仿宋"/>
          <w:sz w:val="32"/>
          <w:szCs w:val="32"/>
        </w:rPr>
        <w:t>人，公务用车购置</w:t>
      </w:r>
      <w:r>
        <w:rPr>
          <w:rFonts w:hint="eastAsia" w:ascii="仿宋" w:hAnsi="仿宋" w:eastAsia="仿宋"/>
          <w:sz w:val="32"/>
          <w:szCs w:val="32"/>
          <w:lang w:val="en-US" w:eastAsia="zh-CN"/>
        </w:rPr>
        <w:t>0</w:t>
      </w:r>
      <w:r>
        <w:rPr>
          <w:rFonts w:hint="eastAsia" w:ascii="仿宋" w:hAnsi="仿宋" w:eastAsia="仿宋"/>
          <w:sz w:val="32"/>
          <w:szCs w:val="32"/>
        </w:rPr>
        <w:t>辆、保有</w:t>
      </w:r>
      <w:r>
        <w:rPr>
          <w:rFonts w:hint="eastAsia" w:ascii="仿宋" w:hAnsi="仿宋" w:eastAsia="仿宋"/>
          <w:sz w:val="32"/>
          <w:szCs w:val="32"/>
          <w:lang w:val="en-US" w:eastAsia="zh-CN"/>
        </w:rPr>
        <w:t>0</w:t>
      </w:r>
      <w:r>
        <w:rPr>
          <w:rFonts w:hint="eastAsia" w:ascii="仿宋" w:hAnsi="仿宋" w:eastAsia="仿宋"/>
          <w:sz w:val="32"/>
          <w:szCs w:val="32"/>
        </w:rPr>
        <w:t xml:space="preserve">量，国内公务接待 </w:t>
      </w:r>
      <w:r>
        <w:rPr>
          <w:rFonts w:hint="eastAsia" w:ascii="仿宋" w:hAnsi="仿宋" w:eastAsia="仿宋"/>
          <w:sz w:val="32"/>
          <w:szCs w:val="32"/>
          <w:lang w:val="en-US" w:eastAsia="zh-CN"/>
        </w:rPr>
        <w:t>0</w:t>
      </w:r>
      <w:r>
        <w:rPr>
          <w:rFonts w:hint="eastAsia" w:ascii="仿宋" w:hAnsi="仿宋" w:eastAsia="仿宋"/>
          <w:sz w:val="32"/>
          <w:szCs w:val="32"/>
        </w:rPr>
        <w:t>批次、</w:t>
      </w:r>
      <w:r>
        <w:rPr>
          <w:rFonts w:hint="eastAsia" w:ascii="仿宋" w:hAnsi="仿宋" w:eastAsia="仿宋"/>
          <w:sz w:val="32"/>
          <w:szCs w:val="32"/>
          <w:lang w:val="en-US" w:eastAsia="zh-CN"/>
        </w:rPr>
        <w:t>0</w:t>
      </w:r>
      <w:r>
        <w:rPr>
          <w:rFonts w:hint="eastAsia" w:ascii="仿宋" w:hAnsi="仿宋" w:eastAsia="仿宋"/>
          <w:sz w:val="32"/>
          <w:szCs w:val="32"/>
        </w:rPr>
        <w:t>人</w:t>
      </w:r>
      <w:r>
        <w:rPr>
          <w:rFonts w:hint="eastAsia" w:ascii="仿宋" w:hAnsi="仿宋" w:eastAsia="仿宋"/>
          <w:sz w:val="32"/>
          <w:szCs w:val="32"/>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960" w:firstLineChars="300"/>
        <w:rPr>
          <w:rFonts w:hint="eastAsia" w:ascii="仿宋_GB2312" w:eastAsia="仿宋" w:cs="仿宋_GB2312" w:hAnsiTheme="minorHAnsi"/>
          <w:kern w:val="0"/>
          <w:sz w:val="32"/>
          <w:szCs w:val="32"/>
          <w:lang w:eastAsia="zh-CN"/>
        </w:rPr>
      </w:pPr>
      <w:r>
        <w:rPr>
          <w:rFonts w:hint="eastAsia" w:ascii="仿宋" w:hAnsi="仿宋" w:eastAsia="仿宋"/>
          <w:sz w:val="32"/>
          <w:szCs w:val="32"/>
          <w:lang w:eastAsia="zh-CN"/>
        </w:rPr>
        <w:t>我中心没有</w:t>
      </w:r>
      <w:r>
        <w:rPr>
          <w:rFonts w:hint="eastAsia" w:ascii="仿宋" w:hAnsi="仿宋" w:eastAsia="仿宋"/>
          <w:sz w:val="32"/>
          <w:szCs w:val="32"/>
        </w:rPr>
        <w:t>政府性基金预算</w:t>
      </w:r>
      <w:r>
        <w:rPr>
          <w:rFonts w:hint="eastAsia" w:ascii="仿宋" w:hAnsi="仿宋" w:eastAsia="仿宋"/>
          <w:sz w:val="32"/>
          <w:szCs w:val="32"/>
          <w:lang w:eastAsia="zh-CN"/>
        </w:rPr>
        <w:t>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我中心</w:t>
      </w:r>
      <w:r>
        <w:rPr>
          <w:rFonts w:hint="eastAsia" w:ascii="仿宋" w:hAnsi="仿宋" w:eastAsia="仿宋"/>
          <w:sz w:val="32"/>
          <w:szCs w:val="32"/>
        </w:rPr>
        <w:t>2024年度没有政府性基金安排的支出</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sz w:val="32"/>
          <w:szCs w:val="32"/>
          <w:lang w:eastAsia="zh-CN"/>
        </w:rPr>
      </w:pPr>
      <w:r>
        <w:rPr>
          <w:rFonts w:hint="eastAsia" w:ascii="仿宋" w:hAnsi="仿宋" w:eastAsia="仿宋" w:cs="Times New Roman"/>
          <w:kern w:val="2"/>
          <w:sz w:val="32"/>
          <w:szCs w:val="32"/>
          <w:lang w:val="en-US" w:eastAsia="zh-CN" w:bidi="ar-SA"/>
        </w:rPr>
        <w:t>2024年融媒体中心商品和服务支出预算31.5万元：其中：办公费4.31万元、印刷费0.22万元、电费1.10万元、邮电费1.48万元、取暖费0.50万元、维护费0.94万元、会议费1.57万元、差旅费11.11万元、培训费0.47万元、公务接待费0.31万元、公务用车维护费9.45万元。</w:t>
      </w:r>
      <w:r>
        <w:rPr>
          <w:rFonts w:hint="eastAsia" w:ascii="仿宋" w:hAnsi="仿宋" w:eastAsia="仿宋"/>
          <w:sz w:val="32"/>
          <w:szCs w:val="32"/>
        </w:rPr>
        <w:t>运行经费</w:t>
      </w:r>
      <w:r>
        <w:rPr>
          <w:rFonts w:hint="eastAsia" w:ascii="仿宋" w:hAnsi="仿宋" w:eastAsia="仿宋"/>
          <w:sz w:val="32"/>
          <w:szCs w:val="32"/>
          <w:lang w:eastAsia="zh-CN"/>
        </w:rPr>
        <w:t>按财政要求使用。</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lang w:val="en-US" w:eastAsia="zh-CN"/>
        </w:rPr>
        <w:t>2</w:t>
      </w:r>
      <w:r>
        <w:rPr>
          <w:rFonts w:hint="eastAsia" w:ascii="仿宋" w:hAnsi="仿宋" w:eastAsia="仿宋"/>
          <w:sz w:val="32"/>
          <w:szCs w:val="32"/>
        </w:rPr>
        <w:t>辆，其中，执法执勤用</w:t>
      </w:r>
      <w:r>
        <w:rPr>
          <w:rFonts w:hint="eastAsia" w:ascii="仿宋" w:hAnsi="仿宋" w:eastAsia="仿宋"/>
          <w:sz w:val="32"/>
          <w:szCs w:val="32"/>
          <w:lang w:val="en-US" w:eastAsia="zh-CN"/>
        </w:rPr>
        <w:t>1</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rPr>
        <w:t>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lang w:val="en-US" w:eastAsia="zh-CN"/>
        </w:rPr>
        <w:t>0台（套），单位价值100万元以上专用设备0台（套）。</w:t>
      </w:r>
    </w:p>
    <w:p>
      <w:pPr>
        <w:spacing w:line="588" w:lineRule="exact"/>
        <w:ind w:firstLine="640" w:firstLineChars="200"/>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）2024年预算绩效情况说明。</w:t>
      </w:r>
    </w:p>
    <w:p>
      <w:pPr>
        <w:spacing w:line="588"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截至2024年2月，国有资产总值1372.44万元，其中：流动资产0万元，固定资产1372.44万元，其中固定资产中：房屋2000平方米，账面价值780万元；车辆1辆，账面价值8.45万元；其他资产583.99万元。</w:t>
      </w:r>
    </w:p>
    <w:p>
      <w:pPr>
        <w:ind w:firstLine="640" w:firstLineChars="200"/>
        <w:rPr>
          <w:rFonts w:hint="eastAsia" w:ascii="仿宋" w:hAnsi="仿宋" w:eastAsia="仿宋" w:cs="Times New Roman"/>
          <w:kern w:val="2"/>
          <w:sz w:val="32"/>
          <w:szCs w:val="32"/>
          <w:lang w:val="en-US" w:eastAsia="zh-CN" w:bidi="ar-SA"/>
        </w:rPr>
      </w:pPr>
    </w:p>
    <w:p>
      <w:pPr>
        <w:spacing w:line="588" w:lineRule="exact"/>
        <w:ind w:firstLine="640" w:firstLineChars="200"/>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）政府采购情况说明</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年度未安排政府采购预算。</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 w:hAnsi="楷体" w:eastAsia="楷体"/>
          <w:sz w:val="32"/>
          <w:szCs w:val="32"/>
        </w:rPr>
      </w:pPr>
      <w:r>
        <w:rPr>
          <w:rFonts w:hint="eastAsia" w:ascii="楷体" w:hAnsi="楷体" w:eastAsia="楷体"/>
          <w:sz w:val="32"/>
          <w:szCs w:val="32"/>
        </w:rPr>
        <w:t>政府债务情况。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960" w:firstLineChars="300"/>
        <w:jc w:val="both"/>
        <w:textAlignment w:val="auto"/>
        <w:rPr>
          <w:rFonts w:hint="default" w:ascii="仿宋" w:hAnsi="仿宋" w:eastAsia="仿宋" w:cstheme="minorBidi"/>
          <w:kern w:val="2"/>
          <w:sz w:val="32"/>
          <w:szCs w:val="32"/>
          <w:lang w:val="en-US" w:eastAsia="zh-CN" w:bidi="bo-CN"/>
        </w:rPr>
      </w:pPr>
      <w:r>
        <w:rPr>
          <w:rFonts w:hint="eastAsia" w:ascii="仿宋" w:hAnsi="仿宋" w:eastAsia="仿宋" w:cstheme="minorBidi"/>
          <w:kern w:val="2"/>
          <w:sz w:val="32"/>
          <w:szCs w:val="32"/>
          <w:lang w:val="en-US" w:eastAsia="zh-CN" w:bidi="bo-CN"/>
        </w:rPr>
        <w:t>我中心不存在政府性债务。</w:t>
      </w: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hint="eastAsia" w:ascii="微软雅黑" w:hAnsi="微软雅黑" w:eastAsia="微软雅黑" w:cs="微软雅黑"/>
          <w:color w:val="000000"/>
          <w:sz w:val="25"/>
          <w:szCs w:val="25"/>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autoSpaceDE w:val="0"/>
        <w:autoSpaceDN w:val="0"/>
        <w:adjustRightInd w:val="0"/>
        <w:ind w:firstLine="640" w:firstLineChars="200"/>
        <w:jc w:val="left"/>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F3900"/>
    <w:multiLevelType w:val="singleLevel"/>
    <w:tmpl w:val="C64F3900"/>
    <w:lvl w:ilvl="0" w:tentative="0">
      <w:start w:val="6"/>
      <w:numFmt w:val="chineseCounting"/>
      <w:suff w:val="nothing"/>
      <w:lvlText w:val="%1、"/>
      <w:lvlJc w:val="left"/>
      <w:rPr>
        <w:rFonts w:hint="eastAsia"/>
      </w:rPr>
    </w:lvl>
  </w:abstractNum>
  <w:abstractNum w:abstractNumId="1">
    <w:nsid w:val="FC1EB10B"/>
    <w:multiLevelType w:val="singleLevel"/>
    <w:tmpl w:val="FC1EB10B"/>
    <w:lvl w:ilvl="0" w:tentative="0">
      <w:start w:val="5"/>
      <w:numFmt w:val="chineseCounting"/>
      <w:suff w:val="nothing"/>
      <w:lvlText w:val="（%1）"/>
      <w:lvlJc w:val="left"/>
      <w:rPr>
        <w:rFonts w:hint="eastAsia"/>
      </w:rPr>
    </w:lvl>
  </w:abstractNum>
  <w:abstractNum w:abstractNumId="2">
    <w:nsid w:val="02651C9B"/>
    <w:multiLevelType w:val="singleLevel"/>
    <w:tmpl w:val="02651C9B"/>
    <w:lvl w:ilvl="0" w:tentative="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OTU1NDA3ZDFhYmFmMjJmODQwY2QzNzc1NGUwNjcifQ=="/>
  </w:docVars>
  <w:rsids>
    <w:rsidRoot w:val="00000000"/>
    <w:rsid w:val="02B349AE"/>
    <w:rsid w:val="0347085F"/>
    <w:rsid w:val="04BC2630"/>
    <w:rsid w:val="054E09BE"/>
    <w:rsid w:val="05FD4533"/>
    <w:rsid w:val="06DA245A"/>
    <w:rsid w:val="085E4466"/>
    <w:rsid w:val="0B02461E"/>
    <w:rsid w:val="0C3B7846"/>
    <w:rsid w:val="0C882A07"/>
    <w:rsid w:val="0D735DFB"/>
    <w:rsid w:val="0E9438E5"/>
    <w:rsid w:val="0F026AA1"/>
    <w:rsid w:val="0FAD2E15"/>
    <w:rsid w:val="13C7475D"/>
    <w:rsid w:val="13FA243C"/>
    <w:rsid w:val="191A57C0"/>
    <w:rsid w:val="1BCF41AF"/>
    <w:rsid w:val="1DA13929"/>
    <w:rsid w:val="1EAA2CB1"/>
    <w:rsid w:val="1FCB2EDF"/>
    <w:rsid w:val="202B1BD0"/>
    <w:rsid w:val="21E5472C"/>
    <w:rsid w:val="223034CD"/>
    <w:rsid w:val="254A2AF8"/>
    <w:rsid w:val="25786522"/>
    <w:rsid w:val="29AF0262"/>
    <w:rsid w:val="2A7F5432"/>
    <w:rsid w:val="2AD52E64"/>
    <w:rsid w:val="2B6568DD"/>
    <w:rsid w:val="2BD650E5"/>
    <w:rsid w:val="2ED522EC"/>
    <w:rsid w:val="2FCE2CA3"/>
    <w:rsid w:val="2FD656B4"/>
    <w:rsid w:val="2FE57939"/>
    <w:rsid w:val="31BB4950"/>
    <w:rsid w:val="32690186"/>
    <w:rsid w:val="326C553C"/>
    <w:rsid w:val="33B1681F"/>
    <w:rsid w:val="34D160D7"/>
    <w:rsid w:val="34D83C7C"/>
    <w:rsid w:val="35391118"/>
    <w:rsid w:val="3804109F"/>
    <w:rsid w:val="3A4A2F8C"/>
    <w:rsid w:val="3BE178BA"/>
    <w:rsid w:val="3DC70816"/>
    <w:rsid w:val="3F035D9A"/>
    <w:rsid w:val="3F850EA5"/>
    <w:rsid w:val="42BF022A"/>
    <w:rsid w:val="42EA799C"/>
    <w:rsid w:val="45372C41"/>
    <w:rsid w:val="45C35A91"/>
    <w:rsid w:val="46456C98"/>
    <w:rsid w:val="487E46E3"/>
    <w:rsid w:val="4AB71971"/>
    <w:rsid w:val="4D51747C"/>
    <w:rsid w:val="51E11F6A"/>
    <w:rsid w:val="54D538DD"/>
    <w:rsid w:val="572172AD"/>
    <w:rsid w:val="5794236F"/>
    <w:rsid w:val="58B77B90"/>
    <w:rsid w:val="591C1ADA"/>
    <w:rsid w:val="5A0709DC"/>
    <w:rsid w:val="5A3572F7"/>
    <w:rsid w:val="5B2C13A8"/>
    <w:rsid w:val="5BFF43C7"/>
    <w:rsid w:val="5C537F09"/>
    <w:rsid w:val="5DE80B25"/>
    <w:rsid w:val="6172700A"/>
    <w:rsid w:val="623D05F6"/>
    <w:rsid w:val="638B5FD5"/>
    <w:rsid w:val="654A690F"/>
    <w:rsid w:val="65FA7647"/>
    <w:rsid w:val="679413D5"/>
    <w:rsid w:val="695A13C9"/>
    <w:rsid w:val="69992CD3"/>
    <w:rsid w:val="6B7439F8"/>
    <w:rsid w:val="6B8D6867"/>
    <w:rsid w:val="6BA55C7A"/>
    <w:rsid w:val="6CB322FE"/>
    <w:rsid w:val="6CDC7AA6"/>
    <w:rsid w:val="6F857F81"/>
    <w:rsid w:val="71854381"/>
    <w:rsid w:val="746C5BB4"/>
    <w:rsid w:val="7610256F"/>
    <w:rsid w:val="78A82F32"/>
    <w:rsid w:val="79167E9C"/>
    <w:rsid w:val="7A652CD5"/>
    <w:rsid w:val="7AD149C3"/>
    <w:rsid w:val="7AED2E7F"/>
    <w:rsid w:val="7B116B6D"/>
    <w:rsid w:val="7C745605"/>
    <w:rsid w:val="7F855D7C"/>
    <w:rsid w:val="7FA72F60"/>
    <w:rsid w:val="7FB1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rFonts w:cs="Arial Unicode MS"/>
      <w:kern w:val="0"/>
      <w:sz w:val="24"/>
      <w:szCs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2024-02-07T02:38:00Z</dcterms:created>
  <dc:creator>Administrator</dc:creator>
  <cp:lastModifiedBy>admin</cp:lastModifiedBy>
  <cp:lastPrinted>2024-02-07T05:59:00Z</cp:lastPrinted>
  <dcterms:modified xsi:type="dcterms:W3CDTF">2024-02-08T04:57:41Z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321886E961B9419DB6C676C04D9B8E74_12</vt:lpwstr>
  </property>
</Properties>
</file>