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尼玛县司法局</w:t>
      </w: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仿宋" w:hAnsi="仿宋" w:eastAsia="仿宋"/>
          <w:sz w:val="32"/>
          <w:szCs w:val="32"/>
          <w:lang w:val="en-US" w:eastAsia="zh-CN"/>
        </w:rPr>
      </w:pPr>
    </w:p>
    <w:p>
      <w:pPr>
        <w:jc w:val="center"/>
        <w:rPr>
          <w:rFonts w:hint="eastAsia"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2月8</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尼玛县司法局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XXX（部门/单位）部门（单位）预算明细表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XXX（部门/单位）部门（单位）预算数据分析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尼玛县司法局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1. 贯彻执行国家司法行政工作的法律法规和方针政策；参与县域规章的制定工作；编制全县司法行政工作规划和年度计划;负责指导基层司法所工作；参与社会治安综合治理工作。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2.负责全县法制宣传和依法治县工作，拟订相关规划并组织实施；指导各镇(街道办)、各行业和基层依法治理工作。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3.指导、管理全县法律援助工作。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4.指导、管理全县基层人民调解和基层法律服务工作。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5.负责仲裁机构登记前的审核工作。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6.负责全县司法行政系统执法规范化工作。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7.指导全县司法行政系统的队伍建设和思想政治工作。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8.负责全县司法行政系统计划、财务、装备及后勤保障工作。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9.组织实施法学教育，负责全县政法干部、普法骨干和法律服务人员的法律业务培训。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10.指导、管理全县社区矫正日常工作；指导、协调全县有关部门、镇政府(街道办)开展对刑满释放人员的安置帮教工作。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11.完成县委、县政府交办的其他工作。</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我局</w:t>
      </w:r>
      <w:r>
        <w:rPr>
          <w:rFonts w:hint="eastAsia" w:ascii="仿宋" w:hAnsi="仿宋" w:eastAsia="仿宋"/>
          <w:sz w:val="32"/>
          <w:szCs w:val="32"/>
        </w:rPr>
        <w:t>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lang w:eastAsia="zh-CN"/>
        </w:rPr>
        <w:t>，为西藏那曲尼玛县司法局。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尼玛县司法局</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尼玛县司法局</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453.45</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453.45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60.86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上级部门下拨专项资金</w:t>
      </w:r>
      <w:r>
        <w:rPr>
          <w:rFonts w:hint="eastAsia" w:ascii="仿宋" w:hAnsi="仿宋" w:eastAsia="仿宋"/>
          <w:sz w:val="32"/>
          <w:szCs w:val="32"/>
          <w:u w:val="single"/>
        </w:rPr>
        <w:t>增</w:t>
      </w:r>
      <w:r>
        <w:rPr>
          <w:rFonts w:hint="eastAsia" w:ascii="仿宋" w:hAnsi="仿宋" w:eastAsia="仿宋"/>
          <w:sz w:val="32"/>
          <w:szCs w:val="32"/>
          <w:u w:val="single"/>
          <w:lang w:eastAsia="zh-CN"/>
        </w:rPr>
        <w:t>多</w:t>
      </w:r>
      <w:r>
        <w:rPr>
          <w:rFonts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40.61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8.96</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412.84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91.04</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例如：支出预算总量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453.45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60.86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上级部门下拨专项资金</w:t>
      </w:r>
      <w:r>
        <w:rPr>
          <w:rFonts w:hint="eastAsia" w:ascii="仿宋" w:hAnsi="仿宋" w:eastAsia="仿宋"/>
          <w:sz w:val="32"/>
          <w:szCs w:val="32"/>
          <w:u w:val="single"/>
        </w:rPr>
        <w:t>增</w:t>
      </w:r>
      <w:r>
        <w:rPr>
          <w:rFonts w:hint="eastAsia" w:ascii="仿宋" w:hAnsi="仿宋" w:eastAsia="仿宋"/>
          <w:sz w:val="32"/>
          <w:szCs w:val="32"/>
          <w:u w:val="single"/>
          <w:lang w:eastAsia="zh-CN"/>
        </w:rPr>
        <w:t>多</w:t>
      </w:r>
      <w:r>
        <w:rPr>
          <w:rFonts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295.84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65.24</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157.61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34.76</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453.45</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60.86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上级部门下拨专项资金</w:t>
      </w:r>
      <w:r>
        <w:rPr>
          <w:rFonts w:hint="eastAsia" w:ascii="仿宋" w:hAnsi="仿宋" w:eastAsia="仿宋"/>
          <w:sz w:val="32"/>
          <w:szCs w:val="32"/>
          <w:u w:val="single"/>
        </w:rPr>
        <w:t>增</w:t>
      </w:r>
      <w:r>
        <w:rPr>
          <w:rFonts w:hint="eastAsia" w:ascii="仿宋" w:hAnsi="仿宋" w:eastAsia="仿宋"/>
          <w:sz w:val="32"/>
          <w:szCs w:val="32"/>
          <w:u w:val="single"/>
          <w:lang w:eastAsia="zh-CN"/>
        </w:rPr>
        <w:t>多</w:t>
      </w:r>
      <w:r>
        <w:rPr>
          <w:rFonts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412.84</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40.61</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3.47</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30.54</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22.20</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22.77</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412.84</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63.02</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上级部门下拨专项资金</w:t>
      </w:r>
      <w:r>
        <w:rPr>
          <w:rFonts w:hint="eastAsia" w:ascii="仿宋" w:hAnsi="仿宋" w:eastAsia="仿宋"/>
          <w:sz w:val="32"/>
          <w:szCs w:val="32"/>
          <w:u w:val="single"/>
        </w:rPr>
        <w:t>增</w:t>
      </w:r>
      <w:r>
        <w:rPr>
          <w:rFonts w:hint="eastAsia" w:ascii="仿宋" w:hAnsi="仿宋" w:eastAsia="仿宋"/>
          <w:sz w:val="32"/>
          <w:szCs w:val="32"/>
          <w:u w:val="single"/>
          <w:lang w:eastAsia="zh-CN"/>
        </w:rPr>
        <w:t>多</w:t>
      </w:r>
      <w:r>
        <w:rPr>
          <w:rFonts w:hint="eastAsia" w:ascii="仿宋" w:hAnsi="仿宋" w:eastAsia="仿宋"/>
          <w:sz w:val="32"/>
          <w:szCs w:val="32"/>
          <w:u w:val="single"/>
          <w:lang w:val="en-US" w:eastAsia="zh-CN"/>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412.84</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0.84</w:t>
      </w:r>
      <w:r>
        <w:rPr>
          <w:rFonts w:hint="eastAsia" w:ascii="仿宋" w:hAnsi="仿宋" w:eastAsia="仿宋"/>
          <w:sz w:val="32"/>
          <w:szCs w:val="32"/>
          <w:u w:val="single"/>
        </w:rPr>
        <w:t xml:space="preserve"> </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例如：1.一般公共服务支出（类）财政事务（款）行政运行（项）预算数为</w:t>
      </w:r>
      <w:r>
        <w:rPr>
          <w:rFonts w:hint="eastAsia" w:ascii="仿宋" w:hAnsi="仿宋" w:eastAsia="仿宋"/>
          <w:sz w:val="32"/>
          <w:szCs w:val="32"/>
          <w:u w:val="single"/>
        </w:rPr>
        <w:t xml:space="preserve">216.86 </w:t>
      </w:r>
      <w:r>
        <w:rPr>
          <w:rFonts w:hint="eastAsia" w:ascii="仿宋" w:hAnsi="仿宋" w:eastAsia="仿宋"/>
          <w:sz w:val="32"/>
          <w:szCs w:val="32"/>
        </w:rPr>
        <w:t>万元，比2023年执行数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增</w:t>
      </w:r>
      <w:r>
        <w:rPr>
          <w:rFonts w:hint="eastAsia" w:ascii="仿宋" w:hAnsi="仿宋" w:eastAsia="仿宋"/>
          <w:sz w:val="32"/>
          <w:szCs w:val="32"/>
          <w:lang w:eastAsia="zh-CN"/>
        </w:rPr>
        <w:t>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2.83</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295.84</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278.87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16.97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8.19</w:t>
      </w:r>
      <w:r>
        <w:rPr>
          <w:rFonts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8.05</w:t>
      </w:r>
      <w:r>
        <w:rPr>
          <w:rFonts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0.14</w:t>
      </w:r>
      <w:r>
        <w:rPr>
          <w:rFonts w:ascii="仿宋" w:hAnsi="仿宋" w:eastAsia="仿宋"/>
          <w:sz w:val="32"/>
          <w:szCs w:val="32"/>
          <w:u w:val="single"/>
        </w:rPr>
        <w:t xml:space="preserve"> </w:t>
      </w:r>
      <w:r>
        <w:rPr>
          <w:rFonts w:hint="eastAsia" w:ascii="仿宋" w:hAnsi="仿宋" w:eastAsia="仿宋"/>
          <w:sz w:val="32"/>
          <w:szCs w:val="32"/>
        </w:rPr>
        <w:t>万元。“三公”经费预算比2023年减少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0.82 </w:t>
      </w:r>
      <w:r>
        <w:rPr>
          <w:rFonts w:hint="eastAsia" w:ascii="仿宋" w:hAnsi="仿宋" w:eastAsia="仿宋"/>
          <w:sz w:val="32"/>
          <w:szCs w:val="32"/>
        </w:rPr>
        <w:t>万元，压缩（</w:t>
      </w:r>
      <w:r>
        <w:rPr>
          <w:rFonts w:hint="eastAsia" w:ascii="仿宋" w:hAnsi="仿宋" w:eastAsia="仿宋"/>
          <w:sz w:val="32"/>
          <w:szCs w:val="32"/>
          <w:lang w:eastAsia="zh-CN"/>
        </w:rPr>
        <w:t>下降</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10.01</w:t>
      </w:r>
      <w:r>
        <w:rPr>
          <w:rFonts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2024年</w:t>
      </w:r>
      <w:r>
        <w:rPr>
          <w:rFonts w:hint="eastAsia" w:ascii="仿宋" w:hAnsi="仿宋" w:eastAsia="仿宋"/>
          <w:sz w:val="32"/>
          <w:szCs w:val="32"/>
          <w:u w:val="single"/>
        </w:rPr>
        <w:t>公务接待费减少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rPr>
        <w:t>我单位2024年度没有政府性基金安排的支出</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8.19</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0.14</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0.82</w:t>
      </w:r>
      <w:r>
        <w:rPr>
          <w:rFonts w:hint="eastAsia" w:ascii="仿宋" w:hAnsi="仿宋" w:eastAsia="仿宋"/>
          <w:sz w:val="32"/>
          <w:szCs w:val="32"/>
          <w:u w:val="single"/>
        </w:rPr>
        <w:t xml:space="preserve"> </w:t>
      </w:r>
      <w:r>
        <w:rPr>
          <w:rFonts w:hint="eastAsia" w:ascii="仿宋" w:hAnsi="仿宋" w:eastAsia="仿宋"/>
          <w:sz w:val="32"/>
          <w:szCs w:val="32"/>
        </w:rPr>
        <w:t>万元，压缩（</w:t>
      </w:r>
      <w:r>
        <w:rPr>
          <w:rFonts w:hint="eastAsia" w:ascii="仿宋" w:hAnsi="仿宋" w:eastAsia="仿宋"/>
          <w:sz w:val="32"/>
          <w:szCs w:val="32"/>
          <w:lang w:eastAsia="zh-CN"/>
        </w:rPr>
        <w:t>下降</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10.01</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val="en-US" w:eastAsia="zh-CN"/>
        </w:rPr>
        <w:t xml:space="preserve"> 2024年</w:t>
      </w:r>
      <w:r>
        <w:rPr>
          <w:rFonts w:hint="eastAsia" w:ascii="仿宋" w:hAnsi="仿宋" w:eastAsia="仿宋"/>
          <w:sz w:val="32"/>
          <w:szCs w:val="32"/>
          <w:u w:val="single"/>
        </w:rPr>
        <w:t>公务接待费减少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司法局</w:t>
      </w:r>
      <w:r>
        <w:rPr>
          <w:rFonts w:hint="eastAsia" w:ascii="仿宋" w:hAnsi="仿宋" w:eastAsia="仿宋"/>
          <w:sz w:val="32"/>
          <w:szCs w:val="32"/>
        </w:rPr>
        <w:t>机关等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453.45</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60.86</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13.42</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eastAsia="zh-CN"/>
        </w:rPr>
        <w:t>上级部门下拨专项资金</w:t>
      </w:r>
      <w:r>
        <w:rPr>
          <w:rFonts w:hint="eastAsia" w:ascii="仿宋" w:hAnsi="仿宋" w:eastAsia="仿宋"/>
          <w:sz w:val="32"/>
          <w:szCs w:val="32"/>
          <w:u w:val="single"/>
        </w:rPr>
        <w:t>增</w:t>
      </w:r>
      <w:r>
        <w:rPr>
          <w:rFonts w:hint="eastAsia" w:ascii="仿宋" w:hAnsi="仿宋" w:eastAsia="仿宋"/>
          <w:sz w:val="32"/>
          <w:szCs w:val="32"/>
          <w:u w:val="single"/>
          <w:lang w:eastAsia="zh-CN"/>
        </w:rPr>
        <w:t>多</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县</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 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157.61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77.61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 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无</w:t>
      </w:r>
    </w:p>
    <w:p>
      <w:pPr>
        <w:ind w:firstLine="640" w:firstLineChars="200"/>
        <w:rPr>
          <w:rFonts w:hint="eastAsia" w:ascii="仿宋" w:hAnsi="仿宋" w:eastAsia="仿宋"/>
          <w:sz w:val="32"/>
          <w:szCs w:val="32"/>
          <w:lang w:eastAsia="zh-CN"/>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2RiNDRlNDQzMTM5NjZlZjY3ZmZmOTA4NmQ1MTM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ADD03C2"/>
    <w:rsid w:val="22114716"/>
    <w:rsid w:val="28E02EAF"/>
    <w:rsid w:val="2B3F16C9"/>
    <w:rsid w:val="3AD034B4"/>
    <w:rsid w:val="4BE50073"/>
    <w:rsid w:val="5CBD5382"/>
    <w:rsid w:val="660B4B4A"/>
    <w:rsid w:val="68122AB4"/>
    <w:rsid w:val="79B758C5"/>
    <w:rsid w:val="7BBF481B"/>
    <w:rsid w:val="7F7E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17</TotalTime>
  <ScaleCrop>false</ScaleCrop>
  <LinksUpToDate>false</LinksUpToDate>
  <CharactersWithSpaces>4729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2024-02-08T04:23:55Z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C659519187BE4A7B91EFCF7D3BDCAAD3_12</vt:lpwstr>
  </property>
</Properties>
</file>