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0AF707">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44"/>
          <w:szCs w:val="44"/>
          <w:shd w:val="clear" w:color="auto" w:fill="auto"/>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尼玛县应急管理局</w:t>
      </w:r>
      <w:r>
        <w:rPr>
          <w:rFonts w:hint="eastAsia" w:ascii="方正小标宋简体" w:hAnsi="仿宋" w:eastAsia="方正小标宋简体"/>
          <w:color w:val="000000" w:themeColor="text1"/>
          <w:sz w:val="44"/>
          <w:szCs w:val="44"/>
          <w:shd w:val="clear" w:color="auto" w:fill="auto"/>
          <w14:textFill>
            <w14:solidFill>
              <w14:schemeClr w14:val="tx1"/>
            </w14:solidFill>
          </w14:textFill>
        </w:rPr>
        <w:t>202</w:t>
      </w: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5</w:t>
      </w:r>
      <w:r>
        <w:rPr>
          <w:rFonts w:hint="eastAsia" w:ascii="方正小标宋简体" w:hAnsi="仿宋" w:eastAsia="方正小标宋简体"/>
          <w:color w:val="000000" w:themeColor="text1"/>
          <w:sz w:val="44"/>
          <w:szCs w:val="44"/>
          <w:shd w:val="clear" w:color="auto" w:fill="auto"/>
          <w14:textFill>
            <w14:solidFill>
              <w14:schemeClr w14:val="tx1"/>
            </w14:solidFill>
          </w14:textFill>
        </w:rPr>
        <w:t>年度部门预算</w:t>
      </w:r>
    </w:p>
    <w:p w14:paraId="4A339D7E">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lang w:val="en-US" w:eastAsia="zh-CN"/>
          <w14:textFill>
            <w14:solidFill>
              <w14:schemeClr w14:val="tx1"/>
            </w14:solidFill>
          </w14:textFill>
        </w:rPr>
        <w:t>公开说明</w:t>
      </w:r>
    </w:p>
    <w:p w14:paraId="24E15030">
      <w:pPr>
        <w:keepNext w:val="0"/>
        <w:keepLines w:val="0"/>
        <w:pageBreakBefore w:val="0"/>
        <w:widowControl w:val="0"/>
        <w:kinsoku/>
        <w:wordWrap/>
        <w:overflowPunct/>
        <w:topLinePunct w:val="0"/>
        <w:bidi w:val="0"/>
        <w:snapToGrid/>
        <w:spacing w:line="576" w:lineRule="exact"/>
        <w:jc w:val="center"/>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lang w:val="en-US" w:eastAsia="zh-CN"/>
          <w14:textFill>
            <w14:solidFill>
              <w14:schemeClr w14:val="tx1"/>
            </w14:solidFill>
          </w14:textFill>
        </w:rPr>
        <w:t>2025</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年</w:t>
      </w:r>
      <w:r>
        <w:rPr>
          <w:rFonts w:hint="eastAsia" w:ascii="方正楷体_GBK" w:hAnsi="方正楷体_GBK" w:eastAsia="方正楷体_GBK" w:cs="方正楷体_GBK"/>
          <w:color w:val="000000" w:themeColor="text1"/>
          <w:sz w:val="32"/>
          <w:szCs w:val="32"/>
          <w:shd w:val="clear" w:color="auto" w:fill="auto"/>
          <w:lang w:val="en-US" w:eastAsia="zh-CN"/>
          <w14:textFill>
            <w14:solidFill>
              <w14:schemeClr w14:val="tx1"/>
            </w14:solidFill>
          </w14:textFill>
        </w:rPr>
        <w:t>2</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月</w:t>
      </w:r>
      <w:r>
        <w:rPr>
          <w:rFonts w:hint="eastAsia" w:ascii="方正楷体_GBK" w:hAnsi="方正楷体_GBK" w:eastAsia="方正楷体_GBK" w:cs="方正楷体_GBK"/>
          <w:color w:val="000000" w:themeColor="text1"/>
          <w:sz w:val="32"/>
          <w:szCs w:val="32"/>
          <w:shd w:val="clear" w:color="auto" w:fill="auto"/>
          <w:lang w:val="en-US" w:eastAsia="zh-CN"/>
          <w14:textFill>
            <w14:solidFill>
              <w14:schemeClr w14:val="tx1"/>
            </w14:solidFill>
          </w14:textFill>
        </w:rPr>
        <w:t>25</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日</w:t>
      </w:r>
    </w:p>
    <w:p w14:paraId="011DC281">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44"/>
          <w:szCs w:val="44"/>
          <w:shd w:val="clear" w:color="auto" w:fill="auto"/>
          <w14:textFill>
            <w14:solidFill>
              <w14:schemeClr w14:val="tx1"/>
            </w14:solidFill>
          </w14:textFill>
        </w:rPr>
      </w:pPr>
    </w:p>
    <w:p w14:paraId="57944AF4">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44"/>
          <w:szCs w:val="44"/>
          <w:shd w:val="clear" w:color="auto" w:fill="auto"/>
          <w14:textFill>
            <w14:solidFill>
              <w14:schemeClr w14:val="tx1"/>
            </w14:solidFill>
          </w14:textFill>
        </w:rPr>
      </w:pPr>
      <w:r>
        <w:rPr>
          <w:rFonts w:hint="eastAsia" w:ascii="方正小标宋简体" w:hAnsi="仿宋" w:eastAsia="方正小标宋简体"/>
          <w:color w:val="000000" w:themeColor="text1"/>
          <w:sz w:val="44"/>
          <w:szCs w:val="44"/>
          <w:shd w:val="clear" w:color="auto" w:fill="auto"/>
          <w14:textFill>
            <w14:solidFill>
              <w14:schemeClr w14:val="tx1"/>
            </w14:solidFill>
          </w14:textFill>
        </w:rPr>
        <w:t>目  录</w:t>
      </w:r>
    </w:p>
    <w:p w14:paraId="73ED3940">
      <w:pPr>
        <w:keepNext w:val="0"/>
        <w:keepLines w:val="0"/>
        <w:pageBreakBefore w:val="0"/>
        <w:widowControl w:val="0"/>
        <w:kinsoku/>
        <w:wordWrap/>
        <w:overflowPunct/>
        <w:topLinePunct w:val="0"/>
        <w:bidi w:val="0"/>
        <w:snapToGrid/>
        <w:spacing w:line="576" w:lineRule="exact"/>
        <w:textAlignment w:val="auto"/>
        <w:rPr>
          <w:rFonts w:ascii="仿宋" w:hAnsi="仿宋" w:eastAsia="仿宋"/>
          <w:color w:val="000000" w:themeColor="text1"/>
          <w:sz w:val="32"/>
          <w:szCs w:val="32"/>
          <w:shd w:val="clear" w:color="auto" w:fill="auto"/>
          <w14:textFill>
            <w14:solidFill>
              <w14:schemeClr w14:val="tx1"/>
            </w14:solidFill>
          </w14:textFill>
        </w:rPr>
      </w:pPr>
    </w:p>
    <w:p w14:paraId="619429A3">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 xml:space="preserve">第一部分  </w:t>
      </w:r>
      <w:r>
        <w:rPr>
          <w:rFonts w:hint="eastAsia" w:ascii="方正楷体_GBK" w:hAnsi="方正楷体_GBK" w:eastAsia="方正楷体_GBK" w:cs="方正楷体_GBK"/>
          <w:color w:val="000000" w:themeColor="text1"/>
          <w:sz w:val="32"/>
          <w:szCs w:val="32"/>
          <w:shd w:val="clear" w:color="auto" w:fill="auto"/>
          <w:lang w:val="en-US" w:eastAsia="zh-CN"/>
          <w14:textFill>
            <w14:solidFill>
              <w14:schemeClr w14:val="tx1"/>
            </w14:solidFill>
          </w14:textFill>
        </w:rPr>
        <w:t>应急管理局</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概况</w:t>
      </w:r>
    </w:p>
    <w:p w14:paraId="6ED55718">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一、主要职能</w:t>
      </w:r>
    </w:p>
    <w:p w14:paraId="78287186">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二、机构设置情况</w:t>
      </w:r>
    </w:p>
    <w:p w14:paraId="4EAECCBB">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 xml:space="preserve">第二部分  </w:t>
      </w:r>
      <w:r>
        <w:rPr>
          <w:rFonts w:hint="eastAsia" w:ascii="方正楷体_GBK" w:hAnsi="方正楷体_GBK" w:eastAsia="方正楷体_GBK" w:cs="方正楷体_GBK"/>
          <w:color w:val="000000" w:themeColor="text1"/>
          <w:sz w:val="32"/>
          <w:szCs w:val="32"/>
          <w:shd w:val="clear" w:color="auto" w:fill="auto"/>
          <w:lang w:val="en-US" w:eastAsia="zh-CN"/>
          <w14:textFill>
            <w14:solidFill>
              <w14:schemeClr w14:val="tx1"/>
            </w14:solidFill>
          </w14:textFill>
        </w:rPr>
        <w:t>应急管理局</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部门预算明细表</w:t>
      </w:r>
    </w:p>
    <w:p w14:paraId="049D38EE">
      <w:pPr>
        <w:keepNext w:val="0"/>
        <w:keepLines w:val="0"/>
        <w:pageBreakBefore w:val="0"/>
        <w:widowControl w:val="0"/>
        <w:kinsoku/>
        <w:wordWrap/>
        <w:overflowPunct/>
        <w:topLinePunct w:val="0"/>
        <w:bidi w:val="0"/>
        <w:snapToGrid/>
        <w:spacing w:line="576" w:lineRule="exact"/>
        <w:jc w:val="lef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 xml:space="preserve">第三部分  </w:t>
      </w:r>
      <w:r>
        <w:rPr>
          <w:rFonts w:hint="eastAsia" w:ascii="方正楷体_GBK" w:hAnsi="方正楷体_GBK" w:eastAsia="方正楷体_GBK" w:cs="方正楷体_GBK"/>
          <w:color w:val="000000" w:themeColor="text1"/>
          <w:sz w:val="32"/>
          <w:szCs w:val="32"/>
          <w:shd w:val="clear" w:color="auto" w:fill="auto"/>
          <w:lang w:val="en-US" w:eastAsia="zh-CN"/>
          <w14:textFill>
            <w14:solidFill>
              <w14:schemeClr w14:val="tx1"/>
            </w14:solidFill>
          </w14:textFill>
        </w:rPr>
        <w:t>应急管理局</w:t>
      </w: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部门预算数据分析</w:t>
      </w:r>
    </w:p>
    <w:p w14:paraId="6B083C5B">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一、部门收支总体情况</w:t>
      </w:r>
    </w:p>
    <w:p w14:paraId="244BE92C">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二、部门收入总体情况</w:t>
      </w:r>
    </w:p>
    <w:p w14:paraId="10D74AE3">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三、部门支出总体情况</w:t>
      </w:r>
    </w:p>
    <w:p w14:paraId="6D0B2EE8">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四、财政拨款收支总体情况</w:t>
      </w:r>
    </w:p>
    <w:p w14:paraId="146DE924">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五、一般公共预算支出总体情况（按功能分类科目）</w:t>
      </w:r>
    </w:p>
    <w:p w14:paraId="34A7136E">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六、一般公共预算基本支出总体情况（按经济分类款级科目）</w:t>
      </w:r>
    </w:p>
    <w:p w14:paraId="794C11D1">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七、一般公共预算“三公”经费支出总体情况</w:t>
      </w:r>
    </w:p>
    <w:p w14:paraId="2A62A16D">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八、政府性基金预算支出总体情况</w:t>
      </w:r>
    </w:p>
    <w:p w14:paraId="6C747FD6">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九、政府性基金“三公”经费支出总体情况</w:t>
      </w:r>
    </w:p>
    <w:p w14:paraId="7A53E2FE">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十、其他重要事项情况说明</w:t>
      </w:r>
    </w:p>
    <w:p w14:paraId="79A2D331">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r>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t>第四部分  名词解释</w:t>
      </w:r>
    </w:p>
    <w:p w14:paraId="7FB8E671">
      <w:pPr>
        <w:keepNext w:val="0"/>
        <w:keepLines w:val="0"/>
        <w:pageBreakBefore w:val="0"/>
        <w:widowControl w:val="0"/>
        <w:kinsoku/>
        <w:wordWrap/>
        <w:overflowPunct/>
        <w:topLinePunct w:val="0"/>
        <w:bidi w:val="0"/>
        <w:snapToGrid/>
        <w:spacing w:line="576" w:lineRule="exact"/>
        <w:textAlignment w:val="auto"/>
        <w:rPr>
          <w:rFonts w:hint="eastAsia" w:ascii="方正楷体_GBK" w:hAnsi="方正楷体_GBK" w:eastAsia="方正楷体_GBK" w:cs="方正楷体_GBK"/>
          <w:color w:val="000000" w:themeColor="text1"/>
          <w:sz w:val="32"/>
          <w:szCs w:val="32"/>
          <w:shd w:val="clear" w:color="auto" w:fill="auto"/>
          <w14:textFill>
            <w14:solidFill>
              <w14:schemeClr w14:val="tx1"/>
            </w14:solidFill>
          </w14:textFill>
        </w:rPr>
      </w:pPr>
    </w:p>
    <w:p w14:paraId="69B4B327">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32"/>
          <w:szCs w:val="32"/>
          <w:shd w:val="clear" w:color="auto" w:fill="auto"/>
          <w14:textFill>
            <w14:solidFill>
              <w14:schemeClr w14:val="tx1"/>
            </w14:solidFill>
          </w14:textFill>
        </w:rPr>
      </w:pPr>
    </w:p>
    <w:p w14:paraId="326248B8">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14:textFill>
            <w14:solidFill>
              <w14:schemeClr w14:val="tx1"/>
            </w14:solidFill>
          </w14:textFill>
        </w:rPr>
        <w:t>第一部分</w:t>
      </w:r>
    </w:p>
    <w:p w14:paraId="4CA9E4E5">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p>
    <w:p w14:paraId="3554A055">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lang w:val="en-US" w:eastAsia="zh-CN"/>
          <w14:textFill>
            <w14:solidFill>
              <w14:schemeClr w14:val="tx1"/>
            </w14:solidFill>
          </w14:textFill>
        </w:rPr>
        <w:t>应急管理局</w:t>
      </w:r>
      <w:r>
        <w:rPr>
          <w:rFonts w:hint="eastAsia" w:ascii="方正小标宋简体" w:hAnsi="仿宋" w:eastAsia="方正小标宋简体"/>
          <w:color w:val="000000" w:themeColor="text1"/>
          <w:sz w:val="32"/>
          <w:szCs w:val="32"/>
          <w:shd w:val="clear" w:color="auto" w:fill="auto"/>
          <w14:textFill>
            <w14:solidFill>
              <w14:schemeClr w14:val="tx1"/>
            </w14:solidFill>
          </w14:textFill>
        </w:rPr>
        <w:t>部门概况</w:t>
      </w:r>
    </w:p>
    <w:p w14:paraId="5122C418">
      <w:pPr>
        <w:keepNext w:val="0"/>
        <w:keepLines w:val="0"/>
        <w:pageBreakBefore w:val="0"/>
        <w:widowControl w:val="0"/>
        <w:kinsoku/>
        <w:wordWrap/>
        <w:overflowPunct/>
        <w:topLinePunct w:val="0"/>
        <w:bidi w:val="0"/>
        <w:snapToGrid/>
        <w:spacing w:line="576" w:lineRule="exact"/>
        <w:textAlignment w:val="auto"/>
        <w:rPr>
          <w:rFonts w:ascii="仿宋" w:hAnsi="仿宋" w:eastAsia="仿宋"/>
          <w:color w:val="000000" w:themeColor="text1"/>
          <w:sz w:val="32"/>
          <w:szCs w:val="32"/>
          <w:shd w:val="clear" w:color="auto" w:fill="auto"/>
          <w14:textFill>
            <w14:solidFill>
              <w14:schemeClr w14:val="tx1"/>
            </w14:solidFill>
          </w14:textFill>
        </w:rPr>
      </w:pPr>
    </w:p>
    <w:p w14:paraId="4D3C8FAD">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一、主要职能</w:t>
      </w:r>
    </w:p>
    <w:p w14:paraId="6443EE5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一）承担县应急管理局办公室日常工作。研究提出全县安全生产的重要政策和措施、建议;监督检查指导协调有关部门和各乡镇人民政府安全生产工作;组织全县安全生产大检查和专项督查;组织协调有关部门按职责范围开展安全生产专项整治工作;参与研究有关部门在政策及资金投入、科技发展等工作中涉及安全生产的相关工作</w:t>
      </w:r>
      <w:r>
        <w:rPr>
          <w:rFonts w:hint="eastAsia" w:ascii="Times New Roman" w:hAnsi="Times New Roman"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负责组织和协调全县重特大事故调查处理和办理结案工作。</w:t>
      </w:r>
    </w:p>
    <w:p w14:paraId="7008A6E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（二）综合管理全县安全生产工作。研究拟订全县安全生产工作正常措施、全县工矿商贸行业及有关综合性安全生产规程。</w:t>
      </w:r>
    </w:p>
    <w:p w14:paraId="3B8D4D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（三）依法行使县府安全生产综合监管职权。指导协调和监督有关部门开展安全生产监管工作;制定全县安全生产发展规划;定期分析和预测全县安全生产形势，研究协调和解决安全生产中的重大问题。</w:t>
      </w:r>
    </w:p>
    <w:p w14:paraId="619D992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（四）负责发布全县安全生产信息。综合管理全县安全生产事故统计和分析工作。</w:t>
      </w:r>
    </w:p>
    <w:p w14:paraId="6B0DC52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（五）负责综合监督管理危险化学品和烟花爆竹行业的安全生产工作。</w:t>
      </w:r>
    </w:p>
    <w:p w14:paraId="445D9C1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（六）负责监督管理工矿商贸企业安全生产工作。依法对矿山、危险化学品和烟花爆竹和建筑工地项目进行安全生产监督检查和竣工验收。</w:t>
      </w:r>
    </w:p>
    <w:p w14:paraId="38B7BC4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七）依法监督检查新建、改建和扩建工程项目执行安全生产设施与主体工程“三同时”制度的情况。依法监督检查重特大危险源的监控和事故隐患的排查整治工作，依法查处不具备安全生产条件的生产经营单位和有关违法行为。</w:t>
      </w:r>
    </w:p>
    <w:p w14:paraId="1ED4FCA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（八）组织开展安全生产方面的交流与协作。</w:t>
      </w:r>
    </w:p>
    <w:p w14:paraId="1AC87FA0">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方正楷体_GBK" w:hAnsi="方正楷体_GBK" w:eastAsia="方正楷体_GBK" w:cs="方正楷体_GBK"/>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（九）负责组织开展安全生产的宣传教育工作。</w:t>
      </w:r>
    </w:p>
    <w:p w14:paraId="3C15AE6F">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二、部门机构设置</w:t>
      </w:r>
      <w:r>
        <w:rPr>
          <w:rFonts w:ascii="黑体" w:hAnsi="黑体" w:eastAsia="黑体"/>
          <w:color w:val="000000" w:themeColor="text1"/>
          <w:sz w:val="32"/>
          <w:szCs w:val="32"/>
          <w:shd w:val="clear" w:color="auto" w:fill="auto"/>
          <w14:textFill>
            <w14:solidFill>
              <w14:schemeClr w14:val="tx1"/>
            </w14:solidFill>
          </w14:textFill>
        </w:rPr>
        <w:t>情况</w:t>
      </w:r>
    </w:p>
    <w:p w14:paraId="6DF28ED2">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我局隶属行政机构，人员编制</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人，行政人员编制</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2025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年，我局在职职工</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人，其中：</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副县级</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人、副科级部</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人，科员</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人。我局共设置县安委办</w:t>
      </w:r>
      <w:r>
        <w:rPr>
          <w:rFonts w:hint="eastAsia" w:ascii="Times New Roman" w:hAnsi="Times New Roman"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防灾减灾、森林草原防灭火指挥部</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等内设机构。</w:t>
      </w:r>
    </w:p>
    <w:p w14:paraId="5091B325">
      <w:pPr>
        <w:keepNext w:val="0"/>
        <w:keepLines w:val="0"/>
        <w:pageBreakBefore w:val="0"/>
        <w:widowControl w:val="0"/>
        <w:kinsoku/>
        <w:wordWrap/>
        <w:overflowPunct/>
        <w:topLinePunct w:val="0"/>
        <w:bidi w:val="0"/>
        <w:snapToGrid/>
        <w:spacing w:line="576" w:lineRule="exact"/>
        <w:textAlignment w:val="auto"/>
        <w:rPr>
          <w:rFonts w:ascii="仿宋" w:hAnsi="仿宋" w:eastAsia="仿宋"/>
          <w:color w:val="000000" w:themeColor="text1"/>
          <w:sz w:val="32"/>
          <w:szCs w:val="32"/>
          <w:shd w:val="clear" w:color="auto" w:fill="auto"/>
          <w14:textFill>
            <w14:solidFill>
              <w14:schemeClr w14:val="tx1"/>
            </w14:solidFill>
          </w14:textFill>
        </w:rPr>
      </w:pPr>
    </w:p>
    <w:p w14:paraId="7EAB5770">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14:textFill>
            <w14:solidFill>
              <w14:schemeClr w14:val="tx1"/>
            </w14:solidFill>
          </w14:textFill>
        </w:rPr>
        <w:t>第二部分</w:t>
      </w:r>
    </w:p>
    <w:p w14:paraId="41F9D806">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32"/>
          <w:szCs w:val="32"/>
          <w:shd w:val="clear" w:color="auto" w:fill="auto"/>
          <w14:textFill>
            <w14:solidFill>
              <w14:schemeClr w14:val="tx1"/>
            </w14:solidFill>
          </w14:textFill>
        </w:rPr>
      </w:pPr>
    </w:p>
    <w:p w14:paraId="32DB650B">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lang w:val="en-US" w:eastAsia="zh-CN"/>
          <w14:textFill>
            <w14:solidFill>
              <w14:schemeClr w14:val="tx1"/>
            </w14:solidFill>
          </w14:textFill>
        </w:rPr>
        <w:t>应急管理局</w:t>
      </w:r>
      <w:r>
        <w:rPr>
          <w:rFonts w:hint="eastAsia" w:ascii="方正小标宋简体" w:hAnsi="仿宋" w:eastAsia="方正小标宋简体"/>
          <w:color w:val="000000" w:themeColor="text1"/>
          <w:sz w:val="32"/>
          <w:szCs w:val="32"/>
          <w:shd w:val="clear" w:color="auto" w:fill="auto"/>
          <w14:textFill>
            <w14:solidFill>
              <w14:schemeClr w14:val="tx1"/>
            </w14:solidFill>
          </w14:textFill>
        </w:rPr>
        <w:t>部门202</w:t>
      </w:r>
      <w:r>
        <w:rPr>
          <w:rFonts w:hint="eastAsia" w:ascii="方正小标宋简体" w:hAnsi="仿宋" w:eastAsia="方正小标宋简体"/>
          <w:color w:val="000000" w:themeColor="text1"/>
          <w:sz w:val="32"/>
          <w:szCs w:val="32"/>
          <w:shd w:val="clear" w:color="auto" w:fill="auto"/>
          <w:lang w:val="en-US" w:eastAsia="zh-CN"/>
          <w14:textFill>
            <w14:solidFill>
              <w14:schemeClr w14:val="tx1"/>
            </w14:solidFill>
          </w14:textFill>
        </w:rPr>
        <w:t>5</w:t>
      </w:r>
      <w:r>
        <w:rPr>
          <w:rFonts w:hint="eastAsia" w:ascii="方正小标宋简体" w:hAnsi="仿宋" w:eastAsia="方正小标宋简体"/>
          <w:color w:val="000000" w:themeColor="text1"/>
          <w:sz w:val="32"/>
          <w:szCs w:val="32"/>
          <w:shd w:val="clear" w:color="auto" w:fill="auto"/>
          <w14:textFill>
            <w14:solidFill>
              <w14:schemeClr w14:val="tx1"/>
            </w14:solidFill>
          </w14:textFill>
        </w:rPr>
        <w:t>年度预算明细表</w:t>
      </w:r>
    </w:p>
    <w:p w14:paraId="769944DF">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14:textFill>
            <w14:solidFill>
              <w14:schemeClr w14:val="tx1"/>
            </w14:solidFill>
          </w14:textFill>
        </w:rPr>
        <w:t>（表格详见附件）</w:t>
      </w:r>
    </w:p>
    <w:p w14:paraId="686F5C29">
      <w:pPr>
        <w:keepNext w:val="0"/>
        <w:keepLines w:val="0"/>
        <w:pageBreakBefore w:val="0"/>
        <w:widowControl w:val="0"/>
        <w:kinsoku/>
        <w:wordWrap/>
        <w:overflowPunct/>
        <w:topLinePunct w:val="0"/>
        <w:bidi w:val="0"/>
        <w:snapToGrid/>
        <w:spacing w:line="576" w:lineRule="exact"/>
        <w:jc w:val="center"/>
        <w:textAlignment w:val="auto"/>
        <w:rPr>
          <w:rFonts w:hint="eastAsia" w:ascii="方正小标宋简体" w:hAnsi="仿宋" w:eastAsia="方正小标宋简体"/>
          <w:color w:val="000000" w:themeColor="text1"/>
          <w:sz w:val="32"/>
          <w:szCs w:val="32"/>
          <w:shd w:val="clear" w:color="auto" w:fill="auto"/>
          <w14:textFill>
            <w14:solidFill>
              <w14:schemeClr w14:val="tx1"/>
            </w14:solidFill>
          </w14:textFill>
        </w:rPr>
      </w:pPr>
    </w:p>
    <w:p w14:paraId="297336F6">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14:textFill>
            <w14:solidFill>
              <w14:schemeClr w14:val="tx1"/>
            </w14:solidFill>
          </w14:textFill>
        </w:rPr>
        <w:t>第三部分</w:t>
      </w:r>
    </w:p>
    <w:p w14:paraId="75825698">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p>
    <w:p w14:paraId="79BB6BEA">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lang w:val="en-US" w:eastAsia="zh-CN"/>
          <w14:textFill>
            <w14:solidFill>
              <w14:schemeClr w14:val="tx1"/>
            </w14:solidFill>
          </w14:textFill>
        </w:rPr>
        <w:t>应急管理局</w:t>
      </w:r>
      <w:r>
        <w:rPr>
          <w:rFonts w:hint="eastAsia" w:ascii="方正小标宋简体" w:hAnsi="仿宋" w:eastAsia="方正小标宋简体"/>
          <w:color w:val="000000" w:themeColor="text1"/>
          <w:sz w:val="32"/>
          <w:szCs w:val="32"/>
          <w:shd w:val="clear" w:color="auto" w:fill="auto"/>
          <w14:textFill>
            <w14:solidFill>
              <w14:schemeClr w14:val="tx1"/>
            </w14:solidFill>
          </w14:textFill>
        </w:rPr>
        <w:t>202</w:t>
      </w:r>
      <w:r>
        <w:rPr>
          <w:rFonts w:hint="eastAsia" w:ascii="方正小标宋简体" w:hAnsi="仿宋" w:eastAsia="方正小标宋简体"/>
          <w:color w:val="000000" w:themeColor="text1"/>
          <w:sz w:val="32"/>
          <w:szCs w:val="32"/>
          <w:shd w:val="clear" w:color="auto" w:fill="auto"/>
          <w:lang w:val="en-US" w:eastAsia="zh-CN"/>
          <w14:textFill>
            <w14:solidFill>
              <w14:schemeClr w14:val="tx1"/>
            </w14:solidFill>
          </w14:textFill>
        </w:rPr>
        <w:t>5</w:t>
      </w:r>
      <w:r>
        <w:rPr>
          <w:rFonts w:hint="eastAsia" w:ascii="方正小标宋简体" w:hAnsi="仿宋" w:eastAsia="方正小标宋简体"/>
          <w:color w:val="000000" w:themeColor="text1"/>
          <w:sz w:val="32"/>
          <w:szCs w:val="32"/>
          <w:shd w:val="clear" w:color="auto" w:fill="auto"/>
          <w14:textFill>
            <w14:solidFill>
              <w14:schemeClr w14:val="tx1"/>
            </w14:solidFill>
          </w14:textFill>
        </w:rPr>
        <w:t>年度部门预算数据分析</w:t>
      </w:r>
    </w:p>
    <w:p w14:paraId="418CEB29">
      <w:pPr>
        <w:keepNext w:val="0"/>
        <w:keepLines w:val="0"/>
        <w:pageBreakBefore w:val="0"/>
        <w:widowControl w:val="0"/>
        <w:kinsoku/>
        <w:wordWrap/>
        <w:overflowPunct/>
        <w:topLinePunct w:val="0"/>
        <w:bidi w:val="0"/>
        <w:snapToGrid/>
        <w:spacing w:line="576" w:lineRule="exact"/>
        <w:jc w:val="center"/>
        <w:textAlignment w:val="auto"/>
        <w:rPr>
          <w:rFonts w:ascii="黑体" w:hAnsi="黑体" w:eastAsia="黑体"/>
          <w:color w:val="000000" w:themeColor="text1"/>
          <w:sz w:val="32"/>
          <w:szCs w:val="32"/>
          <w:shd w:val="clear" w:color="auto" w:fill="auto"/>
          <w14:textFill>
            <w14:solidFill>
              <w14:schemeClr w14:val="tx1"/>
            </w14:solidFill>
          </w14:textFill>
        </w:rPr>
      </w:pPr>
    </w:p>
    <w:p w14:paraId="7DB89944">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一、部门收支总体情况</w:t>
      </w:r>
    </w:p>
    <w:p w14:paraId="66CE9F6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尼玛县应急管理局20</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年财政拨款收支总预算</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244.76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万元，收入全部为一般公共预算拨款、无政府性基金预算拨款；我单位编制人数</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人，20</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年实有人数</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人，</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2025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年预算经费共计</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244.76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万元。其中人员类支出</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180.33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万元，公用经费支出</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万元，工会经费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2.08</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万元，项目支出预算</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50.6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p>
    <w:p w14:paraId="65ADBD1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firstLine="32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具体项目支出预算明细如下：</w:t>
      </w:r>
    </w:p>
    <w:p w14:paraId="07D39EA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（1）驻站安全监管人员维稳专项经费（县级安排）补助：</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30.60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p>
    <w:p w14:paraId="5F67FBC1">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（2）安全生产专项执法经费（根据县长办公会议第二次会议）：</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p>
    <w:p w14:paraId="2298A2A8">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（3）</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应急值班补贴</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p>
    <w:p w14:paraId="3FDA7B2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（4）应急救援专项经费：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p>
    <w:p w14:paraId="5D3CA3C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（5）安全生产和自然灾害宣传专项经费：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p>
    <w:p w14:paraId="78386C88">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二、部门收入总体情况</w:t>
      </w:r>
    </w:p>
    <w:p w14:paraId="10D39922">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highlight w:val="green"/>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20</w:t>
      </w:r>
      <w:r>
        <w:rPr>
          <w:rFonts w:hint="eastAsia" w:ascii="Times New Roman" w:hAnsi="Times New Roman"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年当年预算收入</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244.76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，其中：基本支出预算收入</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194.16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万元，占预算收入的</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79.32</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%；项目支出预算收入</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50.6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万元，占预算收入的</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16.58</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w:t>
      </w:r>
    </w:p>
    <w:p w14:paraId="3959B081">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三、部门支出总体情况</w:t>
      </w:r>
    </w:p>
    <w:p w14:paraId="1DACFEB6">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20</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2</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年当年</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支出</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预算</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总量244.76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w:t>
      </w:r>
      <w:r>
        <w:rPr>
          <w:rFonts w:hint="eastAsia" w:ascii="仿宋" w:hAnsi="仿宋" w:eastAsia="仿宋"/>
          <w:color w:val="000000" w:themeColor="text1"/>
          <w:sz w:val="32"/>
          <w:szCs w:val="32"/>
          <w:highlight w:val="none"/>
          <w:shd w:val="clear" w:color="auto" w:fill="auto"/>
          <w14:textFill>
            <w14:solidFill>
              <w14:schemeClr w14:val="tx1"/>
            </w14:solidFill>
          </w14:textFill>
        </w:rPr>
        <w:t>同比增加</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42.15</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万元，主要</w:t>
      </w:r>
      <w:r>
        <w:rPr>
          <w:rFonts w:ascii="仿宋" w:hAnsi="仿宋" w:eastAsia="仿宋"/>
          <w:color w:val="000000" w:themeColor="text1"/>
          <w:sz w:val="32"/>
          <w:szCs w:val="32"/>
          <w:highlight w:val="none"/>
          <w:shd w:val="clear" w:color="auto" w:fill="auto"/>
          <w14:textFill>
            <w14:solidFill>
              <w14:schemeClr w14:val="tx1"/>
            </w14:solidFill>
          </w14:textFill>
        </w:rPr>
        <w:t>原因是：</w:t>
      </w:r>
      <w:r>
        <w:rPr>
          <w:rFonts w:hint="eastAsia" w:ascii="仿宋" w:hAnsi="仿宋" w:eastAsia="仿宋"/>
          <w:color w:val="000000" w:themeColor="text1"/>
          <w:sz w:val="32"/>
          <w:szCs w:val="32"/>
          <w:highlight w:val="none"/>
          <w:u w:val="none"/>
          <w:shd w:val="clear" w:color="auto" w:fill="auto"/>
          <w:lang w:val="en-US" w:eastAsia="zh-CN"/>
          <w14:textFill>
            <w14:solidFill>
              <w14:schemeClr w14:val="tx1"/>
            </w14:solidFill>
          </w14:textFill>
        </w:rPr>
        <w:t>人员增加，公用经费增加</w:t>
      </w:r>
      <w:r>
        <w:rPr>
          <w:rFonts w:hint="eastAsia" w:ascii="仿宋" w:hAnsi="仿宋" w:eastAsia="仿宋"/>
          <w:color w:val="000000" w:themeColor="text1"/>
          <w:sz w:val="32"/>
          <w:szCs w:val="32"/>
          <w:highlight w:val="none"/>
          <w:shd w:val="clear" w:color="auto" w:fill="auto"/>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其中：基本支出</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194.16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万元，占</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79.32</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%；项目支出</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50.6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万元，占</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16.58</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w:t>
      </w:r>
    </w:p>
    <w:p w14:paraId="6C711863">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highlight w:val="green"/>
          <w:shd w:val="clear" w:color="auto" w:fill="auto"/>
          <w14:textFill>
            <w14:solidFill>
              <w14:schemeClr w14:val="tx1"/>
            </w14:solidFill>
          </w14:textFill>
        </w:rPr>
      </w:pPr>
      <w:r>
        <w:rPr>
          <w:rFonts w:hint="eastAsia" w:ascii="黑体" w:hAnsi="黑体" w:eastAsia="黑体"/>
          <w:color w:val="000000" w:themeColor="text1"/>
          <w:sz w:val="32"/>
          <w:szCs w:val="32"/>
          <w:highlight w:val="none"/>
          <w:shd w:val="clear" w:color="auto" w:fill="auto"/>
          <w14:textFill>
            <w14:solidFill>
              <w14:schemeClr w14:val="tx1"/>
            </w14:solidFill>
          </w14:textFill>
        </w:rPr>
        <w:t>四、财政拨款收支总体情况</w:t>
      </w:r>
    </w:p>
    <w:p w14:paraId="0301048C">
      <w:pPr>
        <w:keepNext w:val="0"/>
        <w:keepLines w:val="0"/>
        <w:pageBreakBefore w:val="0"/>
        <w:widowControl w:val="0"/>
        <w:kinsoku/>
        <w:wordWrap/>
        <w:overflowPunct/>
        <w:topLinePunct w:val="0"/>
        <w:bidi w:val="0"/>
        <w:snapToGrid/>
        <w:spacing w:line="576" w:lineRule="exact"/>
        <w:ind w:firstLine="640" w:firstLineChars="200"/>
        <w:jc w:val="left"/>
        <w:textAlignment w:val="auto"/>
        <w:rPr>
          <w:rFonts w:ascii="仿宋" w:hAnsi="仿宋" w:eastAsia="仿宋"/>
          <w:color w:val="000000" w:themeColor="text1"/>
          <w:sz w:val="32"/>
          <w:szCs w:val="32"/>
          <w:highlight w:val="none"/>
          <w:shd w:val="clear" w:color="auto" w:fill="auto"/>
          <w14:textFill>
            <w14:solidFill>
              <w14:schemeClr w14:val="tx1"/>
            </w14:solidFill>
          </w14:textFill>
        </w:rPr>
      </w:pP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2025年</w:t>
      </w:r>
      <w:r>
        <w:rPr>
          <w:rFonts w:hint="eastAsia" w:ascii="仿宋" w:hAnsi="仿宋" w:eastAsia="仿宋"/>
          <w:color w:val="000000" w:themeColor="text1"/>
          <w:sz w:val="32"/>
          <w:szCs w:val="32"/>
          <w:highlight w:val="none"/>
          <w:shd w:val="clear" w:color="auto" w:fill="auto"/>
          <w14:textFill>
            <w14:solidFill>
              <w14:schemeClr w14:val="tx1"/>
            </w14:solidFill>
          </w14:textFill>
        </w:rPr>
        <w:t>财政拨款收支总预算</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244.76</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万元，同比增加</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42.15</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万元，主要</w:t>
      </w:r>
      <w:r>
        <w:rPr>
          <w:rFonts w:ascii="仿宋" w:hAnsi="仿宋" w:eastAsia="仿宋"/>
          <w:color w:val="000000" w:themeColor="text1"/>
          <w:sz w:val="32"/>
          <w:szCs w:val="32"/>
          <w:highlight w:val="none"/>
          <w:shd w:val="clear" w:color="auto" w:fill="auto"/>
          <w14:textFill>
            <w14:solidFill>
              <w14:schemeClr w14:val="tx1"/>
            </w14:solidFill>
          </w14:textFill>
        </w:rPr>
        <w:t>原因是：</w:t>
      </w:r>
      <w:r>
        <w:rPr>
          <w:rFonts w:hint="eastAsia" w:ascii="仿宋" w:hAnsi="仿宋" w:eastAsia="仿宋"/>
          <w:color w:val="000000" w:themeColor="text1"/>
          <w:sz w:val="32"/>
          <w:szCs w:val="32"/>
          <w:highlight w:val="none"/>
          <w:u w:val="none"/>
          <w:shd w:val="clear" w:color="auto" w:fill="auto"/>
          <w:lang w:val="en-US" w:eastAsia="zh-CN"/>
          <w14:textFill>
            <w14:solidFill>
              <w14:schemeClr w14:val="tx1"/>
            </w14:solidFill>
          </w14:textFill>
        </w:rPr>
        <w:t>人员增加，公用经费增加</w:t>
      </w:r>
      <w:r>
        <w:rPr>
          <w:rFonts w:hint="eastAsia" w:ascii="仿宋" w:hAnsi="仿宋" w:eastAsia="仿宋"/>
          <w:color w:val="000000" w:themeColor="text1"/>
          <w:sz w:val="32"/>
          <w:szCs w:val="32"/>
          <w:highlight w:val="none"/>
          <w:shd w:val="clear" w:color="auto" w:fill="auto"/>
          <w14:textFill>
            <w14:solidFill>
              <w14:schemeClr w14:val="tx1"/>
            </w14:solidFill>
          </w14:textFill>
        </w:rPr>
        <w:t>。收入包括：一般公共预算当年拨款收入</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2</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44.76</w:t>
      </w:r>
      <w:r>
        <w:rPr>
          <w:rFonts w:hint="eastAsia" w:ascii="仿宋" w:hAnsi="仿宋" w:eastAsia="仿宋"/>
          <w:color w:val="000000" w:themeColor="text1"/>
          <w:sz w:val="32"/>
          <w:szCs w:val="32"/>
          <w:highlight w:val="none"/>
          <w:shd w:val="clear" w:color="auto" w:fill="auto"/>
          <w14:textFill>
            <w14:solidFill>
              <w14:schemeClr w14:val="tx1"/>
            </w14:solidFill>
          </w14:textFill>
        </w:rPr>
        <w:t>万元、政府性</w:t>
      </w:r>
      <w:r>
        <w:rPr>
          <w:rFonts w:ascii="仿宋" w:hAnsi="仿宋" w:eastAsia="仿宋"/>
          <w:color w:val="000000" w:themeColor="text1"/>
          <w:sz w:val="32"/>
          <w:szCs w:val="32"/>
          <w:highlight w:val="none"/>
          <w:shd w:val="clear" w:color="auto" w:fill="auto"/>
          <w14:textFill>
            <w14:solidFill>
              <w14:schemeClr w14:val="tx1"/>
            </w14:solidFill>
          </w14:textFill>
        </w:rPr>
        <w:t>基金</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万元、国有</w:t>
      </w:r>
      <w:r>
        <w:rPr>
          <w:rFonts w:ascii="仿宋" w:hAnsi="仿宋" w:eastAsia="仿宋"/>
          <w:color w:val="000000" w:themeColor="text1"/>
          <w:sz w:val="32"/>
          <w:szCs w:val="32"/>
          <w:highlight w:val="none"/>
          <w:shd w:val="clear" w:color="auto" w:fill="auto"/>
          <w14:textFill>
            <w14:solidFill>
              <w14:schemeClr w14:val="tx1"/>
            </w14:solidFill>
          </w14:textFill>
        </w:rPr>
        <w:t>资本经营预算</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万元、上年结转</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0万元</w:t>
      </w:r>
      <w:r>
        <w:rPr>
          <w:rFonts w:hint="eastAsia" w:ascii="仿宋" w:hAnsi="仿宋" w:eastAsia="仿宋"/>
          <w:color w:val="000000" w:themeColor="text1"/>
          <w:sz w:val="32"/>
          <w:szCs w:val="32"/>
          <w:highlight w:val="none"/>
          <w:shd w:val="clear" w:color="auto" w:fill="auto"/>
          <w14:textFill>
            <w14:solidFill>
              <w14:schemeClr w14:val="tx1"/>
            </w14:solidFill>
          </w14:textFill>
        </w:rPr>
        <w:t>；支出包括：一般公共服务支出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8.79</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万元、外交支出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万元、教育支出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万元、科学技术支出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万元、文化旅游体育与传媒支出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万元、社会保障和就业支出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18.41</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万元、卫生健康支出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14.46</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万元、住房保障支出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13.72</w:t>
      </w:r>
      <w:r>
        <w:rPr>
          <w:rFonts w:hint="eastAsia" w:ascii="仿宋" w:hAnsi="仿宋" w:eastAsia="仿宋"/>
          <w:color w:val="000000" w:themeColor="text1"/>
          <w:sz w:val="32"/>
          <w:szCs w:val="32"/>
          <w:highlight w:val="none"/>
          <w:shd w:val="clear" w:color="auto" w:fill="auto"/>
          <w14:textFill>
            <w14:solidFill>
              <w14:schemeClr w14:val="tx1"/>
            </w14:solidFill>
          </w14:textFill>
        </w:rPr>
        <w:t>万元</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灾害防治及应急管理支出189.38万元</w:t>
      </w:r>
      <w:r>
        <w:rPr>
          <w:rFonts w:hint="eastAsia" w:ascii="仿宋" w:hAnsi="仿宋" w:eastAsia="仿宋"/>
          <w:color w:val="000000" w:themeColor="text1"/>
          <w:sz w:val="32"/>
          <w:szCs w:val="32"/>
          <w:highlight w:val="none"/>
          <w:shd w:val="clear" w:color="auto" w:fill="auto"/>
          <w14:textFill>
            <w14:solidFill>
              <w14:schemeClr w14:val="tx1"/>
            </w14:solidFill>
          </w14:textFill>
        </w:rPr>
        <w:t>。</w:t>
      </w:r>
    </w:p>
    <w:p w14:paraId="209BE802">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highlight w:val="none"/>
          <w:shd w:val="clear" w:color="auto" w:fill="auto"/>
          <w14:textFill>
            <w14:solidFill>
              <w14:schemeClr w14:val="tx1"/>
            </w14:solidFill>
          </w14:textFill>
        </w:rPr>
      </w:pPr>
      <w:r>
        <w:rPr>
          <w:rFonts w:hint="eastAsia" w:ascii="黑体" w:hAnsi="黑体" w:eastAsia="黑体"/>
          <w:color w:val="000000" w:themeColor="text1"/>
          <w:sz w:val="32"/>
          <w:szCs w:val="32"/>
          <w:highlight w:val="none"/>
          <w:shd w:val="clear" w:color="auto" w:fill="auto"/>
          <w14:textFill>
            <w14:solidFill>
              <w14:schemeClr w14:val="tx1"/>
            </w14:solidFill>
          </w14:textFill>
        </w:rPr>
        <w:t>五、一般公共预算支出总体情况</w:t>
      </w:r>
    </w:p>
    <w:p w14:paraId="3B3B5811">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color w:val="000000" w:themeColor="text1"/>
          <w:sz w:val="32"/>
          <w:szCs w:val="32"/>
          <w:highlight w:val="none"/>
          <w:shd w:val="clear" w:color="auto" w:fill="auto"/>
          <w14:textFill>
            <w14:solidFill>
              <w14:schemeClr w14:val="tx1"/>
            </w14:solidFill>
          </w14:textFill>
        </w:rPr>
      </w:pPr>
      <w:r>
        <w:rPr>
          <w:rFonts w:hint="eastAsia" w:ascii="楷体" w:hAnsi="楷体" w:eastAsia="楷体"/>
          <w:color w:val="000000" w:themeColor="text1"/>
          <w:sz w:val="32"/>
          <w:szCs w:val="32"/>
          <w:highlight w:val="none"/>
          <w:shd w:val="clear" w:color="auto" w:fill="auto"/>
          <w14:textFill>
            <w14:solidFill>
              <w14:schemeClr w14:val="tx1"/>
            </w14:solidFill>
          </w14:textFill>
        </w:rPr>
        <w:t>（一）一般公共预算当年拨款规模变化情况。</w:t>
      </w:r>
    </w:p>
    <w:p w14:paraId="1FF51D90">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highlight w:val="none"/>
          <w:shd w:val="clear" w:color="auto" w:fill="auto"/>
          <w14:textFill>
            <w14:solidFill>
              <w14:schemeClr w14:val="tx1"/>
            </w14:solidFill>
          </w14:textFill>
        </w:rPr>
      </w:pP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2025年</w:t>
      </w:r>
      <w:r>
        <w:rPr>
          <w:rFonts w:hint="eastAsia" w:ascii="仿宋" w:hAnsi="仿宋" w:eastAsia="仿宋"/>
          <w:color w:val="000000" w:themeColor="text1"/>
          <w:sz w:val="32"/>
          <w:szCs w:val="32"/>
          <w:highlight w:val="none"/>
          <w:shd w:val="clear" w:color="auto" w:fill="auto"/>
          <w14:textFill>
            <w14:solidFill>
              <w14:schemeClr w14:val="tx1"/>
            </w14:solidFill>
          </w14:textFill>
        </w:rPr>
        <w:t>一般公共预算当年拨款</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244.76</w:t>
      </w:r>
      <w:r>
        <w:rPr>
          <w:rFonts w:hint="eastAsia" w:ascii="仿宋" w:hAnsi="仿宋" w:eastAsia="仿宋"/>
          <w:color w:val="000000" w:themeColor="text1"/>
          <w:sz w:val="32"/>
          <w:szCs w:val="32"/>
          <w:highlight w:val="none"/>
          <w:shd w:val="clear" w:color="auto" w:fill="auto"/>
          <w14:textFill>
            <w14:solidFill>
              <w14:schemeClr w14:val="tx1"/>
            </w14:solidFill>
          </w14:textFill>
        </w:rPr>
        <w:t>万元,比2023年执行数</w:t>
      </w:r>
      <w:r>
        <w:rPr>
          <w:rFonts w:ascii="仿宋" w:hAnsi="仿宋" w:eastAsia="仿宋"/>
          <w:color w:val="000000" w:themeColor="text1"/>
          <w:sz w:val="32"/>
          <w:szCs w:val="32"/>
          <w:highlight w:val="none"/>
          <w:shd w:val="clear" w:color="auto" w:fill="auto"/>
          <w14:textFill>
            <w14:solidFill>
              <w14:schemeClr w14:val="tx1"/>
            </w14:solidFill>
          </w14:textFill>
        </w:rPr>
        <w:t>增加</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42.15</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万元，主要原因：</w:t>
      </w:r>
      <w:r>
        <w:rPr>
          <w:rFonts w:hint="eastAsia" w:ascii="仿宋" w:hAnsi="仿宋" w:eastAsia="仿宋"/>
          <w:color w:val="000000" w:themeColor="text1"/>
          <w:sz w:val="32"/>
          <w:szCs w:val="32"/>
          <w:highlight w:val="none"/>
          <w:u w:val="none"/>
          <w:shd w:val="clear" w:color="auto" w:fill="auto"/>
          <w:lang w:val="en-US" w:eastAsia="zh-CN"/>
          <w14:textFill>
            <w14:solidFill>
              <w14:schemeClr w14:val="tx1"/>
            </w14:solidFill>
          </w14:textFill>
        </w:rPr>
        <w:t>人员增加，公用经费增加</w:t>
      </w:r>
      <w:r>
        <w:rPr>
          <w:rFonts w:hint="eastAsia" w:ascii="仿宋" w:hAnsi="仿宋" w:eastAsia="仿宋"/>
          <w:color w:val="000000" w:themeColor="text1"/>
          <w:sz w:val="32"/>
          <w:szCs w:val="32"/>
          <w:highlight w:val="none"/>
          <w:shd w:val="clear" w:color="auto" w:fill="auto"/>
          <w14:textFill>
            <w14:solidFill>
              <w14:schemeClr w14:val="tx1"/>
            </w14:solidFill>
          </w14:textFill>
        </w:rPr>
        <w:t>。</w:t>
      </w:r>
    </w:p>
    <w:p w14:paraId="481A9ECE">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color w:val="000000" w:themeColor="text1"/>
          <w:sz w:val="32"/>
          <w:szCs w:val="32"/>
          <w:highlight w:val="none"/>
          <w:shd w:val="clear" w:color="auto" w:fill="auto"/>
          <w14:textFill>
            <w14:solidFill>
              <w14:schemeClr w14:val="tx1"/>
            </w14:solidFill>
          </w14:textFill>
        </w:rPr>
      </w:pPr>
      <w:r>
        <w:rPr>
          <w:rFonts w:hint="eastAsia" w:ascii="楷体" w:hAnsi="楷体" w:eastAsia="楷体"/>
          <w:color w:val="000000" w:themeColor="text1"/>
          <w:sz w:val="32"/>
          <w:szCs w:val="32"/>
          <w:highlight w:val="none"/>
          <w:shd w:val="clear" w:color="auto" w:fill="auto"/>
          <w14:textFill>
            <w14:solidFill>
              <w14:schemeClr w14:val="tx1"/>
            </w14:solidFill>
          </w14:textFill>
        </w:rPr>
        <w:t>（二）一般公共预算当年拨款结构情况。</w:t>
      </w:r>
    </w:p>
    <w:p w14:paraId="054A0CFE">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20</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2</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5</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年当年</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支出</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预算</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总量244.76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w:t>
      </w:r>
      <w:r>
        <w:rPr>
          <w:rFonts w:hint="eastAsia" w:ascii="仿宋" w:hAnsi="仿宋" w:eastAsia="仿宋"/>
          <w:color w:val="000000" w:themeColor="text1"/>
          <w:sz w:val="32"/>
          <w:szCs w:val="32"/>
          <w:highlight w:val="none"/>
          <w:shd w:val="clear" w:color="auto" w:fill="auto"/>
          <w14:textFill>
            <w14:solidFill>
              <w14:schemeClr w14:val="tx1"/>
            </w14:solidFill>
          </w14:textFill>
        </w:rPr>
        <w:t>同比增加</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42.15</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万元，主要</w:t>
      </w:r>
      <w:r>
        <w:rPr>
          <w:rFonts w:ascii="仿宋" w:hAnsi="仿宋" w:eastAsia="仿宋"/>
          <w:color w:val="000000" w:themeColor="text1"/>
          <w:sz w:val="32"/>
          <w:szCs w:val="32"/>
          <w:highlight w:val="none"/>
          <w:shd w:val="clear" w:color="auto" w:fill="auto"/>
          <w14:textFill>
            <w14:solidFill>
              <w14:schemeClr w14:val="tx1"/>
            </w14:solidFill>
          </w14:textFill>
        </w:rPr>
        <w:t>原因是：</w:t>
      </w:r>
      <w:r>
        <w:rPr>
          <w:rFonts w:hint="eastAsia" w:ascii="仿宋" w:hAnsi="仿宋" w:eastAsia="仿宋"/>
          <w:color w:val="000000" w:themeColor="text1"/>
          <w:sz w:val="32"/>
          <w:szCs w:val="32"/>
          <w:highlight w:val="none"/>
          <w:u w:val="none"/>
          <w:shd w:val="clear" w:color="auto" w:fill="auto"/>
          <w:lang w:val="en-US" w:eastAsia="zh-CN"/>
          <w14:textFill>
            <w14:solidFill>
              <w14:schemeClr w14:val="tx1"/>
            </w14:solidFill>
          </w14:textFill>
        </w:rPr>
        <w:t>人员增加，公用经费增244.加</w:t>
      </w:r>
      <w:r>
        <w:rPr>
          <w:rFonts w:hint="eastAsia" w:ascii="仿宋" w:hAnsi="仿宋" w:eastAsia="仿宋"/>
          <w:color w:val="000000" w:themeColor="text1"/>
          <w:sz w:val="32"/>
          <w:szCs w:val="32"/>
          <w:highlight w:val="none"/>
          <w:shd w:val="clear" w:color="auto" w:fill="auto"/>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其中：基本支出</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194.16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万元，占</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79.32</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%；项目支出</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50.6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万元，占</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16.58</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w:t>
      </w:r>
    </w:p>
    <w:p w14:paraId="6D9F29B8">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color w:val="000000" w:themeColor="text1"/>
          <w:sz w:val="32"/>
          <w:szCs w:val="32"/>
          <w:highlight w:val="none"/>
          <w:shd w:val="clear" w:color="auto" w:fill="auto"/>
          <w14:textFill>
            <w14:solidFill>
              <w14:schemeClr w14:val="tx1"/>
            </w14:solidFill>
          </w14:textFill>
        </w:rPr>
      </w:pPr>
      <w:r>
        <w:rPr>
          <w:rFonts w:hint="eastAsia" w:ascii="楷体" w:hAnsi="楷体" w:eastAsia="楷体"/>
          <w:color w:val="000000" w:themeColor="text1"/>
          <w:sz w:val="32"/>
          <w:szCs w:val="32"/>
          <w:highlight w:val="none"/>
          <w:shd w:val="clear" w:color="auto" w:fill="auto"/>
          <w14:textFill>
            <w14:solidFill>
              <w14:schemeClr w14:val="tx1"/>
            </w14:solidFill>
          </w14:textFill>
        </w:rPr>
        <w:t>（三）一般公共预算当年拨款具体使用情况。</w:t>
      </w:r>
    </w:p>
    <w:p w14:paraId="2DB3248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20</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25</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年预算经费共计</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244.76</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w:t>
      </w:r>
    </w:p>
    <w:p w14:paraId="07DC397F">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人员类支出</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180.33</w:t>
      </w:r>
      <w:r>
        <w:rPr>
          <w:rFonts w:hint="eastAsia" w:ascii="Times New Roman" w:hAnsi="Times New Roman" w:eastAsia="仿宋_GB2312" w:cs="仿宋_GB2312"/>
          <w:i w:val="0"/>
          <w:iCs w:val="0"/>
          <w:caps w:val="0"/>
          <w:color w:val="000000" w:themeColor="text1"/>
          <w:spacing w:val="0"/>
          <w:sz w:val="32"/>
          <w:szCs w:val="32"/>
          <w:highlight w:val="none"/>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比2023年执行数增加44.38万元，增长32.64</w:t>
      </w:r>
      <w:r>
        <w:rPr>
          <w:rFonts w:hint="eastAsia" w:ascii="宋体" w:hAnsi="宋体" w:eastAsia="宋体" w:cs="宋体"/>
          <w:i w:val="0"/>
          <w:iCs w:val="0"/>
          <w:caps w:val="0"/>
          <w:color w:val="000000" w:themeColor="text1"/>
          <w:spacing w:val="0"/>
          <w:sz w:val="32"/>
          <w:szCs w:val="32"/>
          <w:highlight w:val="none"/>
          <w:shd w:val="clear" w:color="auto" w:fill="auto"/>
          <w:lang w:val="en-US" w:eastAsia="zh-CN"/>
          <w14:textFill>
            <w14:solidFill>
              <w14:schemeClr w14:val="tx1"/>
            </w14:solidFill>
          </w14:textFill>
        </w:rPr>
        <w:t>％</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。主要原因：人员增加。</w:t>
      </w:r>
    </w:p>
    <w:p w14:paraId="0DABFC1A">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公用经费支</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比2023年执行数增加2万元，</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增加0.25%</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。主要原因：人员增加，公用经费档次增加。</w:t>
      </w:r>
    </w:p>
    <w:p w14:paraId="499F5904">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项目支出预算</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50.6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比2023年执行数</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减少6.38万元，减少11.19%</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。主要原因：</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安全生产和自然灾害宣传专项经费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w:t>
      </w:r>
    </w:p>
    <w:p w14:paraId="03CF98BA">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六、一般公共预算基本支出总体情况</w:t>
      </w:r>
    </w:p>
    <w:p w14:paraId="368F53BB">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20</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54</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年度财政拨款基本支出预算收入</w:t>
      </w:r>
      <w:r>
        <w:rPr>
          <w:rFonts w:hint="eastAsia" w:eastAsia="仿宋_GB2312" w:cs="仿宋_GB2312"/>
          <w:i w:val="0"/>
          <w:iCs w:val="0"/>
          <w:caps w:val="0"/>
          <w:color w:val="000000" w:themeColor="text1"/>
          <w:spacing w:val="0"/>
          <w:sz w:val="32"/>
          <w:szCs w:val="32"/>
          <w:highlight w:val="none"/>
          <w:shd w:val="clear" w:color="auto" w:fill="auto"/>
          <w:lang w:val="en-US" w:eastAsia="zh-CN"/>
          <w14:textFill>
            <w14:solidFill>
              <w14:schemeClr w14:val="tx1"/>
            </w14:solidFill>
          </w14:textFill>
        </w:rPr>
        <w:t>194.16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万元，其中：人员类支出</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180.33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万元（其中：基本工资</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17.89</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万元、津贴补贴</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86.34</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万元、奖金</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8.30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万元、养老保险</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18.30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万元、职工基本医疗保险</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9.95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万元、住房公积金</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13.72</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万元、公务员医疗补助缴费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3.43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万元、工伤保险</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0.11</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万元、伙食补助</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3.00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其他工资福利支出11.5万元、驻村生活补助6.71万元、体检费1.08万元</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商品和服务支出预算</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13.83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万元（其中：办公费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1.37</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万元、印刷费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0.07</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万元、电费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0.35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万元、邮电费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0.37</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万元、差旅费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3.53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万元、会议</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万元、培训费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万元、取暖费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万元、公务接待费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万元、维修（护）费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万元、公务车辆运行维护费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3.00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用氧补助经费1.75万元、</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工会经费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2.08</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w:t>
      </w:r>
    </w:p>
    <w:p w14:paraId="06363220">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七、一般公共预算“三公”经费预算总体情况</w:t>
      </w:r>
    </w:p>
    <w:p w14:paraId="1D409F35">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仿宋" w:hAnsi="仿宋" w:eastAsia="仿宋"/>
          <w:color w:val="000000" w:themeColor="text1"/>
          <w:sz w:val="32"/>
          <w:szCs w:val="32"/>
          <w:shd w:val="clear" w:color="auto" w:fill="auto"/>
          <w14:textFill>
            <w14:solidFill>
              <w14:schemeClr w14:val="tx1"/>
            </w14:solidFill>
          </w14:textFill>
        </w:rPr>
        <w:t>2</w:t>
      </w:r>
      <w:bookmarkStart w:id="0" w:name="_GoBack"/>
      <w:r>
        <w:rPr>
          <w:rFonts w:hint="eastAsia" w:ascii="仿宋" w:hAnsi="仿宋" w:eastAsia="仿宋"/>
          <w:color w:val="000000" w:themeColor="text1"/>
          <w:sz w:val="32"/>
          <w:szCs w:val="32"/>
          <w:highlight w:val="none"/>
          <w:shd w:val="clear" w:color="auto" w:fill="auto"/>
          <w14:textFill>
            <w14:solidFill>
              <w14:schemeClr w14:val="tx1"/>
            </w14:solidFill>
          </w14:textFill>
        </w:rPr>
        <w:t>02</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5</w:t>
      </w:r>
      <w:r>
        <w:rPr>
          <w:rFonts w:hint="eastAsia" w:ascii="仿宋" w:hAnsi="仿宋" w:eastAsia="仿宋"/>
          <w:color w:val="000000" w:themeColor="text1"/>
          <w:sz w:val="32"/>
          <w:szCs w:val="32"/>
          <w:highlight w:val="none"/>
          <w:shd w:val="clear" w:color="auto" w:fill="auto"/>
          <w14:textFill>
            <w14:solidFill>
              <w14:schemeClr w14:val="tx1"/>
            </w14:solidFill>
          </w14:textFill>
        </w:rPr>
        <w:t>年“三公”经费预算数为</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7.48</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万元，其中：因公出国（境）费</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万元，公务用车购置</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u w:val="single"/>
          <w:shd w:val="clear" w:color="auto" w:fill="auto"/>
          <w14:textFill>
            <w14:solidFill>
              <w14:schemeClr w14:val="tx1"/>
            </w14:solidFill>
          </w14:textFill>
        </w:rPr>
        <w:t>万元</w:t>
      </w:r>
      <w:r>
        <w:rPr>
          <w:rFonts w:ascii="仿宋" w:hAnsi="仿宋" w:eastAsia="仿宋"/>
          <w:color w:val="000000" w:themeColor="text1"/>
          <w:sz w:val="32"/>
          <w:szCs w:val="32"/>
          <w:highlight w:val="none"/>
          <w:shd w:val="clear" w:color="auto" w:fill="auto"/>
          <w14:textFill>
            <w14:solidFill>
              <w14:schemeClr w14:val="tx1"/>
            </w14:solidFill>
          </w14:textFill>
        </w:rPr>
        <w:t>，公车</w:t>
      </w:r>
      <w:r>
        <w:rPr>
          <w:rFonts w:hint="eastAsia" w:ascii="仿宋" w:hAnsi="仿宋" w:eastAsia="仿宋"/>
          <w:color w:val="000000" w:themeColor="text1"/>
          <w:sz w:val="32"/>
          <w:szCs w:val="32"/>
          <w:highlight w:val="none"/>
          <w:shd w:val="clear" w:color="auto" w:fill="auto"/>
          <w14:textFill>
            <w14:solidFill>
              <w14:schemeClr w14:val="tx1"/>
            </w14:solidFill>
          </w14:textFill>
        </w:rPr>
        <w:t>运行</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维护</w:t>
      </w:r>
      <w:r>
        <w:rPr>
          <w:rFonts w:hint="eastAsia" w:ascii="仿宋" w:hAnsi="仿宋" w:eastAsia="仿宋"/>
          <w:color w:val="000000" w:themeColor="text1"/>
          <w:sz w:val="32"/>
          <w:szCs w:val="32"/>
          <w:highlight w:val="none"/>
          <w:shd w:val="clear" w:color="auto" w:fill="auto"/>
          <w14:textFill>
            <w14:solidFill>
              <w14:schemeClr w14:val="tx1"/>
            </w14:solidFill>
          </w14:textFill>
        </w:rPr>
        <w:t>费</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7.4</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万元，公务接待费</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0.6</w:t>
      </w:r>
      <w:r>
        <w:rPr>
          <w:rFonts w:hint="eastAsia" w:ascii="仿宋" w:hAnsi="仿宋" w:eastAsia="仿宋"/>
          <w:color w:val="000000" w:themeColor="text1"/>
          <w:sz w:val="32"/>
          <w:szCs w:val="32"/>
          <w:highlight w:val="none"/>
          <w:shd w:val="clear" w:color="auto" w:fill="auto"/>
          <w14:textFill>
            <w14:solidFill>
              <w14:schemeClr w14:val="tx1"/>
            </w14:solidFill>
          </w14:textFill>
        </w:rPr>
        <w:t>万元。“三公”经费预算比</w:t>
      </w:r>
      <w:r>
        <w:rPr>
          <w:rFonts w:hint="eastAsia" w:ascii="仿宋" w:hAnsi="仿宋" w:eastAsia="仿宋"/>
          <w:color w:val="000000" w:themeColor="text1"/>
          <w:sz w:val="32"/>
          <w:szCs w:val="32"/>
          <w:highlight w:val="none"/>
          <w:shd w:val="clear" w:color="auto" w:fill="auto"/>
          <w:lang w:eastAsia="zh-CN"/>
          <w14:textFill>
            <w14:solidFill>
              <w14:schemeClr w14:val="tx1"/>
            </w14:solidFill>
          </w14:textFill>
        </w:rPr>
        <w:t>2025</w:t>
      </w:r>
      <w:r>
        <w:rPr>
          <w:rFonts w:hint="eastAsia" w:ascii="仿宋" w:hAnsi="仿宋" w:eastAsia="仿宋"/>
          <w:color w:val="000000" w:themeColor="text1"/>
          <w:sz w:val="32"/>
          <w:szCs w:val="32"/>
          <w:highlight w:val="none"/>
          <w:shd w:val="clear" w:color="auto" w:fill="auto"/>
          <w14:textFill>
            <w14:solidFill>
              <w14:schemeClr w14:val="tx1"/>
            </w14:solidFill>
          </w14:textFill>
        </w:rPr>
        <w:t>年增加</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万元，增长</w:t>
      </w:r>
      <w:r>
        <w:rPr>
          <w:rFonts w:hint="eastAsia" w:ascii="仿宋" w:hAnsi="仿宋" w:eastAsia="仿宋"/>
          <w:color w:val="000000" w:themeColor="text1"/>
          <w:sz w:val="32"/>
          <w:szCs w:val="32"/>
          <w:highlight w:val="none"/>
          <w:u w:val="singl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%，主要原因是</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w:t>
      </w:r>
      <w:r>
        <w:rPr>
          <w:rFonts w:hint="eastAsia" w:ascii="仿宋" w:hAnsi="仿宋" w:eastAsia="仿宋"/>
          <w:color w:val="000000" w:themeColor="text1"/>
          <w:sz w:val="32"/>
          <w:szCs w:val="32"/>
          <w:highlight w:val="none"/>
          <w:shd w:val="clear" w:color="auto" w:fill="auto"/>
          <w14:textFill>
            <w14:solidFill>
              <w14:schemeClr w14:val="tx1"/>
            </w14:solidFill>
          </w14:textFill>
        </w:rPr>
        <w:t>202</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5</w:t>
      </w:r>
      <w:r>
        <w:rPr>
          <w:rFonts w:hint="eastAsia" w:ascii="仿宋" w:hAnsi="仿宋" w:eastAsia="仿宋"/>
          <w:color w:val="000000" w:themeColor="text1"/>
          <w:sz w:val="32"/>
          <w:szCs w:val="32"/>
          <w:highlight w:val="none"/>
          <w:shd w:val="clear" w:color="auto" w:fill="auto"/>
          <w14:textFill>
            <w14:solidFill>
              <w14:schemeClr w14:val="tx1"/>
            </w14:solidFill>
          </w14:textFill>
        </w:rPr>
        <w:t>年因公出国（境）</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个团组、</w:t>
      </w:r>
      <w:r>
        <w:rPr>
          <w:rFonts w:hint="eastAsia" w:ascii="仿宋" w:hAnsi="仿宋" w:eastAsia="仿宋"/>
          <w:color w:val="000000" w:themeColor="text1"/>
          <w:sz w:val="32"/>
          <w:szCs w:val="32"/>
          <w:highlight w:val="none"/>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highlight w:val="none"/>
          <w:shd w:val="clear" w:color="auto" w:fill="auto"/>
          <w14:textFill>
            <w14:solidFill>
              <w14:schemeClr w14:val="tx1"/>
            </w14:solidFill>
          </w14:textFill>
        </w:rPr>
        <w:t>人，公务用车购置</w:t>
      </w:r>
      <w:bookmarkEnd w:id="0"/>
      <w:r>
        <w:rPr>
          <w:rFonts w:hint="eastAsia" w:ascii="仿宋" w:hAnsi="仿宋" w:eastAsia="仿宋"/>
          <w:color w:val="000000" w:themeColor="text1"/>
          <w:sz w:val="32"/>
          <w:szCs w:val="32"/>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shd w:val="clear" w:color="auto" w:fill="auto"/>
          <w14:textFill>
            <w14:solidFill>
              <w14:schemeClr w14:val="tx1"/>
            </w14:solidFill>
          </w14:textFill>
        </w:rPr>
        <w:t>辆、保有</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shd w:val="clear" w:color="auto" w:fill="auto"/>
          <w14:textFill>
            <w14:solidFill>
              <w14:schemeClr w14:val="tx1"/>
            </w14:solidFill>
          </w14:textFill>
        </w:rPr>
        <w:t>量，国内公务接待</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shd w:val="clear" w:color="auto" w:fill="auto"/>
          <w14:textFill>
            <w14:solidFill>
              <w14:schemeClr w14:val="tx1"/>
            </w14:solidFill>
          </w14:textFill>
        </w:rPr>
        <w:t>批次、</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0</w:t>
      </w:r>
      <w:r>
        <w:rPr>
          <w:rFonts w:hint="eastAsia" w:ascii="仿宋" w:hAnsi="仿宋" w:eastAsia="仿宋"/>
          <w:color w:val="000000" w:themeColor="text1"/>
          <w:sz w:val="32"/>
          <w:szCs w:val="32"/>
          <w:shd w:val="clear" w:color="auto" w:fill="auto"/>
          <w14:textFill>
            <w14:solidFill>
              <w14:schemeClr w14:val="tx1"/>
            </w14:solidFill>
          </w14:textFill>
        </w:rPr>
        <w:t>人。</w:t>
      </w:r>
    </w:p>
    <w:p w14:paraId="1BC54C22">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八、政府性基金预算支出总体情况</w:t>
      </w:r>
    </w:p>
    <w:p w14:paraId="55974842">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仿宋" w:hAnsi="仿宋" w:eastAsia="仿宋"/>
          <w:color w:val="000000" w:themeColor="text1"/>
          <w:sz w:val="32"/>
          <w:szCs w:val="32"/>
          <w:shd w:val="clear" w:color="auto" w:fill="auto"/>
          <w14:textFill>
            <w14:solidFill>
              <w14:schemeClr w14:val="tx1"/>
            </w14:solidFill>
          </w14:textFill>
        </w:rPr>
        <w:t>我部门202</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6</w:t>
      </w:r>
      <w:r>
        <w:rPr>
          <w:rFonts w:hint="eastAsia" w:ascii="仿宋" w:hAnsi="仿宋" w:eastAsia="仿宋"/>
          <w:color w:val="000000" w:themeColor="text1"/>
          <w:sz w:val="32"/>
          <w:szCs w:val="32"/>
          <w:shd w:val="clear" w:color="auto" w:fill="auto"/>
          <w14:textFill>
            <w14:solidFill>
              <w14:schemeClr w14:val="tx1"/>
            </w14:solidFill>
          </w14:textFill>
        </w:rPr>
        <w:t>年度没有政府性基金安排的支出</w:t>
      </w:r>
    </w:p>
    <w:p w14:paraId="58D03B92">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九、政府性</w:t>
      </w:r>
      <w:r>
        <w:rPr>
          <w:rFonts w:ascii="黑体" w:hAnsi="黑体" w:eastAsia="黑体"/>
          <w:color w:val="000000" w:themeColor="text1"/>
          <w:sz w:val="32"/>
          <w:szCs w:val="32"/>
          <w:shd w:val="clear" w:color="auto" w:fill="auto"/>
          <w14:textFill>
            <w14:solidFill>
              <w14:schemeClr w14:val="tx1"/>
            </w14:solidFill>
          </w14:textFill>
        </w:rPr>
        <w:t>基金“</w:t>
      </w:r>
      <w:r>
        <w:rPr>
          <w:rFonts w:hint="eastAsia" w:ascii="黑体" w:hAnsi="黑体" w:eastAsia="黑体"/>
          <w:color w:val="000000" w:themeColor="text1"/>
          <w:sz w:val="32"/>
          <w:szCs w:val="32"/>
          <w:shd w:val="clear" w:color="auto" w:fill="auto"/>
          <w14:textFill>
            <w14:solidFill>
              <w14:schemeClr w14:val="tx1"/>
            </w14:solidFill>
          </w14:textFill>
        </w:rPr>
        <w:t>三公</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经费总体</w:t>
      </w:r>
      <w:r>
        <w:rPr>
          <w:rFonts w:ascii="黑体" w:hAnsi="黑体" w:eastAsia="黑体"/>
          <w:color w:val="000000" w:themeColor="text1"/>
          <w:sz w:val="32"/>
          <w:szCs w:val="32"/>
          <w:shd w:val="clear" w:color="auto" w:fill="auto"/>
          <w14:textFill>
            <w14:solidFill>
              <w14:schemeClr w14:val="tx1"/>
            </w14:solidFill>
          </w14:textFill>
        </w:rPr>
        <w:t>情况</w:t>
      </w:r>
    </w:p>
    <w:p w14:paraId="034C69F1">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仿宋" w:hAnsi="仿宋" w:eastAsia="仿宋"/>
          <w:color w:val="000000" w:themeColor="text1"/>
          <w:sz w:val="32"/>
          <w:szCs w:val="32"/>
          <w:shd w:val="clear" w:color="auto" w:fill="auto"/>
          <w:lang w:val="en-US" w:eastAsia="zh-CN"/>
          <w14:textFill>
            <w14:solidFill>
              <w14:schemeClr w14:val="tx1"/>
            </w14:solidFill>
          </w14:textFill>
        </w:rPr>
        <w:t>2025年部门政府性基金“三公”经费。</w:t>
      </w:r>
    </w:p>
    <w:p w14:paraId="3E8E67DE">
      <w:pPr>
        <w:keepNext w:val="0"/>
        <w:keepLines w:val="0"/>
        <w:pageBreakBefore w:val="0"/>
        <w:widowControl w:val="0"/>
        <w:kinsoku/>
        <w:wordWrap/>
        <w:overflowPunct/>
        <w:topLinePunct w:val="0"/>
        <w:bidi w:val="0"/>
        <w:snapToGrid/>
        <w:spacing w:line="576" w:lineRule="exact"/>
        <w:ind w:firstLine="640" w:firstLineChars="200"/>
        <w:textAlignment w:val="auto"/>
        <w:rPr>
          <w:rFonts w:ascii="黑体" w:hAnsi="黑体" w:eastAsia="黑体"/>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十</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其他重要事项的情况说明</w:t>
      </w:r>
    </w:p>
    <w:p w14:paraId="28D2143D">
      <w:pPr>
        <w:keepNext w:val="0"/>
        <w:keepLines w:val="0"/>
        <w:pageBreakBefore w:val="0"/>
        <w:widowControl w:val="0"/>
        <w:kinsoku/>
        <w:wordWrap/>
        <w:overflowPunct/>
        <w:topLinePunct w:val="0"/>
        <w:bidi w:val="0"/>
        <w:snapToGrid/>
        <w:spacing w:line="576" w:lineRule="exact"/>
        <w:ind w:firstLine="480" w:firstLineChars="150"/>
        <w:textAlignment w:val="auto"/>
        <w:rPr>
          <w:rFonts w:ascii="楷体" w:hAnsi="楷体" w:eastAsia="楷体"/>
          <w:color w:val="000000" w:themeColor="text1"/>
          <w:sz w:val="32"/>
          <w:szCs w:val="32"/>
          <w:shd w:val="clear" w:color="auto" w:fill="auto"/>
          <w14:textFill>
            <w14:solidFill>
              <w14:schemeClr w14:val="tx1"/>
            </w14:solidFill>
          </w14:textFill>
        </w:rPr>
      </w:pPr>
      <w:r>
        <w:rPr>
          <w:rFonts w:hint="eastAsia" w:ascii="楷体" w:hAnsi="楷体" w:eastAsia="楷体"/>
          <w:color w:val="000000" w:themeColor="text1"/>
          <w:sz w:val="32"/>
          <w:szCs w:val="32"/>
          <w:shd w:val="clear" w:color="auto" w:fill="auto"/>
          <w14:textFill>
            <w14:solidFill>
              <w14:schemeClr w14:val="tx1"/>
            </w14:solidFill>
          </w14:textFill>
        </w:rPr>
        <w:t>（一）机关运行经费安排使用情况说明。</w:t>
      </w:r>
    </w:p>
    <w:p w14:paraId="02745C1C">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商品和服务支出预算</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13.83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万元（其中：办公费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1.37</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万元、印刷费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0.07</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万元、电费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0.35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万元、邮电费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0.37</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万元、差旅费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3.53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万元、会议</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万元、培训费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万元、取暖费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0.16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万元、公务接待费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0.6</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万元、维修（护）费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0.3</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万元、公务车辆运行维护费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3.00</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用氧补助经费1.75万元、</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工会经费</w:t>
      </w:r>
      <w:r>
        <w:rPr>
          <w:rFonts w:hint="eastAsia" w:eastAsia="仿宋_GB2312" w:cs="仿宋_GB2312"/>
          <w:i w:val="0"/>
          <w:iCs w:val="0"/>
          <w:caps w:val="0"/>
          <w:color w:val="000000" w:themeColor="text1"/>
          <w:spacing w:val="0"/>
          <w:sz w:val="32"/>
          <w:szCs w:val="32"/>
          <w:shd w:val="clear" w:color="auto" w:fill="auto"/>
          <w:lang w:val="en-US" w:eastAsia="zh-CN"/>
          <w14:textFill>
            <w14:solidFill>
              <w14:schemeClr w14:val="tx1"/>
            </w14:solidFill>
          </w14:textFill>
        </w:rPr>
        <w:t>2.08</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万元</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w:t>
      </w:r>
    </w:p>
    <w:p w14:paraId="7B94E559">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textAlignment w:val="auto"/>
        <w:rPr>
          <w:rFonts w:ascii="楷体" w:hAnsi="楷体" w:eastAsia="楷体"/>
          <w:color w:val="000000" w:themeColor="text1"/>
          <w:sz w:val="32"/>
          <w:szCs w:val="32"/>
          <w:shd w:val="clear" w:color="auto" w:fill="auto"/>
          <w14:textFill>
            <w14:solidFill>
              <w14:schemeClr w14:val="tx1"/>
            </w14:solidFill>
          </w14:textFill>
        </w:rPr>
      </w:pPr>
      <w:r>
        <w:rPr>
          <w:rFonts w:hint="eastAsia" w:ascii="楷体" w:hAnsi="楷体" w:eastAsia="楷体"/>
          <w:color w:val="000000" w:themeColor="text1"/>
          <w:sz w:val="32"/>
          <w:szCs w:val="32"/>
          <w:shd w:val="clear" w:color="auto" w:fill="auto"/>
          <w14:textFill>
            <w14:solidFill>
              <w14:schemeClr w14:val="tx1"/>
            </w14:solidFill>
          </w14:textFill>
        </w:rPr>
        <w:t>（二）政府采购情况说明。</w:t>
      </w:r>
    </w:p>
    <w:p w14:paraId="21DD603C">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color w:val="000000" w:themeColor="text1"/>
          <w:kern w:val="0"/>
          <w:sz w:val="32"/>
          <w:szCs w:val="32"/>
          <w:shd w:val="clear" w:color="auto" w:fill="auto"/>
          <w14:textFill>
            <w14:solidFill>
              <w14:schemeClr w14:val="tx1"/>
            </w14:solidFill>
          </w14:textFill>
        </w:rPr>
      </w:pPr>
      <w:r>
        <w:rPr>
          <w:rFonts w:ascii="仿宋" w:hAnsi="仿宋" w:eastAsia="仿宋"/>
          <w:color w:val="000000" w:themeColor="text1"/>
          <w:sz w:val="32"/>
          <w:szCs w:val="32"/>
          <w:shd w:val="clear" w:color="auto" w:fill="auto"/>
          <w14:textFill>
            <w14:solidFill>
              <w14:schemeClr w14:val="tx1"/>
            </w14:solidFill>
          </w14:textFill>
        </w:rPr>
        <w:t>202</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5</w:t>
      </w:r>
      <w:r>
        <w:rPr>
          <w:rFonts w:hint="eastAsia" w:ascii="仿宋" w:hAnsi="仿宋" w:eastAsia="仿宋"/>
          <w:color w:val="000000" w:themeColor="text1"/>
          <w:sz w:val="32"/>
          <w:szCs w:val="32"/>
          <w:shd w:val="clear" w:color="auto" w:fill="auto"/>
          <w14:textFill>
            <w14:solidFill>
              <w14:schemeClr w14:val="tx1"/>
            </w14:solidFill>
          </w14:textFill>
        </w:rPr>
        <w:t>年本</w:t>
      </w:r>
      <w:r>
        <w:rPr>
          <w:rFonts w:ascii="仿宋" w:hAnsi="仿宋" w:eastAsia="仿宋"/>
          <w:color w:val="000000" w:themeColor="text1"/>
          <w:sz w:val="32"/>
          <w:szCs w:val="32"/>
          <w:shd w:val="clear" w:color="auto" w:fill="auto"/>
          <w14:textFill>
            <w14:solidFill>
              <w14:schemeClr w14:val="tx1"/>
            </w14:solidFill>
          </w14:textFill>
        </w:rPr>
        <w:t>部门</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没有</w:t>
      </w:r>
      <w:r>
        <w:rPr>
          <w:rFonts w:hint="eastAsia" w:ascii="仿宋" w:hAnsi="仿宋" w:eastAsia="仿宋"/>
          <w:color w:val="000000" w:themeColor="text1"/>
          <w:sz w:val="32"/>
          <w:szCs w:val="32"/>
          <w:shd w:val="clear" w:color="auto" w:fill="auto"/>
          <w14:textFill>
            <w14:solidFill>
              <w14:schemeClr w14:val="tx1"/>
            </w14:solidFill>
          </w14:textFill>
        </w:rPr>
        <w:t>政府采购预算总额</w:t>
      </w:r>
    </w:p>
    <w:p w14:paraId="29E686F6">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color w:val="000000" w:themeColor="text1"/>
          <w:sz w:val="32"/>
          <w:szCs w:val="32"/>
          <w:shd w:val="clear" w:color="auto" w:fill="auto"/>
          <w14:textFill>
            <w14:solidFill>
              <w14:schemeClr w14:val="tx1"/>
            </w14:solidFill>
          </w14:textFill>
        </w:rPr>
      </w:pPr>
      <w:r>
        <w:rPr>
          <w:rFonts w:hint="eastAsia" w:ascii="楷体" w:hAnsi="楷体" w:eastAsia="楷体"/>
          <w:color w:val="000000" w:themeColor="text1"/>
          <w:sz w:val="32"/>
          <w:szCs w:val="32"/>
          <w:shd w:val="clear" w:color="auto" w:fill="auto"/>
          <w14:textFill>
            <w14:solidFill>
              <w14:schemeClr w14:val="tx1"/>
            </w14:solidFill>
          </w14:textFill>
        </w:rPr>
        <w:t>（三）国有资产占有使用情况说明。</w:t>
      </w:r>
    </w:p>
    <w:p w14:paraId="686F56CC">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b/>
          <w:color w:val="000000" w:themeColor="text1"/>
          <w:sz w:val="32"/>
          <w:szCs w:val="32"/>
          <w:shd w:val="clear" w:color="auto" w:fill="auto"/>
          <w14:textFill>
            <w14:solidFill>
              <w14:schemeClr w14:val="tx1"/>
            </w14:solidFill>
          </w14:textFill>
        </w:rPr>
      </w:pPr>
      <w:r>
        <w:rPr>
          <w:rFonts w:hint="eastAsia" w:ascii="楷体" w:hAnsi="楷体" w:eastAsia="楷体"/>
          <w:color w:val="000000" w:themeColor="text1"/>
          <w:sz w:val="32"/>
          <w:szCs w:val="32"/>
          <w:shd w:val="clear" w:color="auto" w:fill="auto"/>
          <w14:textFill>
            <w14:solidFill>
              <w14:schemeClr w14:val="tx1"/>
            </w14:solidFill>
          </w14:textFill>
        </w:rPr>
        <w:t>（四）202</w:t>
      </w:r>
      <w:r>
        <w:rPr>
          <w:rFonts w:hint="eastAsia" w:ascii="楷体" w:hAnsi="楷体" w:eastAsia="楷体"/>
          <w:color w:val="000000" w:themeColor="text1"/>
          <w:sz w:val="32"/>
          <w:szCs w:val="32"/>
          <w:shd w:val="clear" w:color="auto" w:fill="auto"/>
          <w:lang w:val="en-US" w:eastAsia="zh-CN"/>
          <w14:textFill>
            <w14:solidFill>
              <w14:schemeClr w14:val="tx1"/>
            </w14:solidFill>
          </w14:textFill>
        </w:rPr>
        <w:t>5</w:t>
      </w:r>
      <w:r>
        <w:rPr>
          <w:rFonts w:hint="eastAsia" w:ascii="楷体" w:hAnsi="楷体" w:eastAsia="楷体"/>
          <w:color w:val="000000" w:themeColor="text1"/>
          <w:sz w:val="32"/>
          <w:szCs w:val="32"/>
          <w:shd w:val="clear" w:color="auto" w:fill="auto"/>
          <w14:textFill>
            <w14:solidFill>
              <w14:schemeClr w14:val="tx1"/>
            </w14:solidFill>
          </w14:textFill>
        </w:rPr>
        <w:t>年预算绩效情况说明。</w:t>
      </w:r>
    </w:p>
    <w:p w14:paraId="70BA82E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尼玛县应急管理局</w:t>
      </w:r>
      <w:r>
        <w:rPr>
          <w:rFonts w:hint="eastAsia" w:eastAsia="仿宋_GB2312" w:cs="仿宋_GB2312"/>
          <w:i w:val="0"/>
          <w:iCs w:val="0"/>
          <w:caps w:val="0"/>
          <w:color w:val="000000" w:themeColor="text1"/>
          <w:spacing w:val="0"/>
          <w:sz w:val="32"/>
          <w:szCs w:val="32"/>
          <w:shd w:val="clear" w:color="auto" w:fill="auto"/>
          <w:lang w:eastAsia="zh-CN"/>
          <w14:textFill>
            <w14:solidFill>
              <w14:schemeClr w14:val="tx1"/>
            </w14:solidFill>
          </w14:textFill>
        </w:rPr>
        <w:t>2025</w:t>
      </w:r>
      <w:r>
        <w:rPr>
          <w:rFonts w:hint="eastAsia" w:ascii="Times New Roman" w:hAnsi="Times New Roman" w:eastAsia="仿宋_GB2312" w:cs="仿宋_GB2312"/>
          <w:i w:val="0"/>
          <w:iCs w:val="0"/>
          <w:caps w:val="0"/>
          <w:color w:val="000000" w:themeColor="text1"/>
          <w:spacing w:val="0"/>
          <w:sz w:val="32"/>
          <w:szCs w:val="32"/>
          <w:shd w:val="clear" w:color="auto" w:fill="auto"/>
          <w14:textFill>
            <w14:solidFill>
              <w14:schemeClr w14:val="tx1"/>
            </w14:solidFill>
          </w14:textFill>
        </w:rPr>
        <w:t>年未实行预算绩效</w:t>
      </w:r>
      <w:r>
        <w:rPr>
          <w:rFonts w:hint="eastAsia" w:ascii="仿宋" w:hAnsi="仿宋" w:eastAsia="仿宋"/>
          <w:color w:val="000000" w:themeColor="text1"/>
          <w:sz w:val="32"/>
          <w:szCs w:val="32"/>
          <w:shd w:val="clear" w:color="auto" w:fill="auto"/>
          <w14:textFill>
            <w14:solidFill>
              <w14:schemeClr w14:val="tx1"/>
            </w14:solidFill>
          </w14:textFill>
        </w:rPr>
        <w:t>。</w:t>
      </w:r>
    </w:p>
    <w:p w14:paraId="643622C7">
      <w:pPr>
        <w:keepNext w:val="0"/>
        <w:keepLines w:val="0"/>
        <w:pageBreakBefore w:val="0"/>
        <w:widowControl w:val="0"/>
        <w:kinsoku/>
        <w:wordWrap/>
        <w:overflowPunct/>
        <w:topLinePunct w:val="0"/>
        <w:bidi w:val="0"/>
        <w:snapToGrid/>
        <w:spacing w:line="576" w:lineRule="exact"/>
        <w:ind w:firstLine="640" w:firstLineChars="200"/>
        <w:textAlignment w:val="auto"/>
        <w:rPr>
          <w:rFonts w:ascii="楷体" w:hAnsi="楷体" w:eastAsia="楷体"/>
          <w:color w:val="000000" w:themeColor="text1"/>
          <w:sz w:val="32"/>
          <w:szCs w:val="32"/>
          <w:shd w:val="clear" w:color="auto" w:fill="auto"/>
          <w14:textFill>
            <w14:solidFill>
              <w14:schemeClr w14:val="tx1"/>
            </w14:solidFill>
          </w14:textFill>
        </w:rPr>
      </w:pPr>
      <w:r>
        <w:rPr>
          <w:rFonts w:hint="eastAsia" w:ascii="楷体" w:hAnsi="楷体" w:eastAsia="楷体"/>
          <w:color w:val="000000" w:themeColor="text1"/>
          <w:sz w:val="32"/>
          <w:szCs w:val="32"/>
          <w:shd w:val="clear" w:color="auto" w:fill="auto"/>
          <w14:textFill>
            <w14:solidFill>
              <w14:schemeClr w14:val="tx1"/>
            </w14:solidFill>
          </w14:textFill>
        </w:rPr>
        <w:t>（五）扶贫资金管理使用情况及绩效目标情况说明。</w:t>
      </w:r>
    </w:p>
    <w:p w14:paraId="49A37052">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olor w:val="000000" w:themeColor="text1"/>
          <w:sz w:val="32"/>
          <w:szCs w:val="32"/>
          <w:shd w:val="clear" w:color="auto" w:fill="auto"/>
          <w:lang w:val="en-US" w:eastAsia="zh-CN"/>
          <w14:textFill>
            <w14:solidFill>
              <w14:schemeClr w14:val="tx1"/>
            </w14:solidFill>
          </w14:textFill>
        </w:rPr>
      </w:pPr>
      <w:r>
        <w:rPr>
          <w:rFonts w:hint="eastAsia" w:ascii="仿宋" w:hAnsi="仿宋" w:eastAsia="仿宋"/>
          <w:color w:val="000000" w:themeColor="text1"/>
          <w:sz w:val="32"/>
          <w:szCs w:val="32"/>
          <w:shd w:val="clear" w:color="auto" w:fill="auto"/>
          <w:lang w:val="en-US" w:eastAsia="zh-CN"/>
          <w14:textFill>
            <w14:solidFill>
              <w14:schemeClr w14:val="tx1"/>
            </w14:solidFill>
          </w14:textFill>
        </w:rPr>
        <w:t>无</w:t>
      </w:r>
    </w:p>
    <w:p w14:paraId="25350BDC">
      <w:pPr>
        <w:keepNext w:val="0"/>
        <w:keepLines w:val="0"/>
        <w:pageBreakBefore w:val="0"/>
        <w:widowControl w:val="0"/>
        <w:kinsoku/>
        <w:wordWrap/>
        <w:overflowPunct/>
        <w:topLinePunct w:val="0"/>
        <w:bidi w:val="0"/>
        <w:snapToGrid/>
        <w:spacing w:line="576" w:lineRule="exact"/>
        <w:ind w:firstLine="640" w:firstLineChars="200"/>
        <w:textAlignment w:val="auto"/>
        <w:rPr>
          <w:rFonts w:hint="eastAsia" w:ascii="仿宋" w:hAnsi="仿宋" w:eastAsia="仿宋"/>
          <w:color w:val="000000" w:themeColor="text1"/>
          <w:sz w:val="32"/>
          <w:szCs w:val="32"/>
          <w:shd w:val="clear" w:color="auto" w:fill="auto"/>
          <w14:textFill>
            <w14:solidFill>
              <w14:schemeClr w14:val="tx1"/>
            </w14:solidFill>
          </w14:textFill>
        </w:rPr>
      </w:pPr>
      <w:r>
        <w:rPr>
          <w:rFonts w:hint="eastAsia" w:ascii="楷体" w:hAnsi="楷体" w:eastAsia="楷体"/>
          <w:color w:val="000000" w:themeColor="text1"/>
          <w:sz w:val="32"/>
          <w:szCs w:val="32"/>
          <w:shd w:val="clear" w:color="auto" w:fill="auto"/>
          <w14:textFill>
            <w14:solidFill>
              <w14:schemeClr w14:val="tx1"/>
            </w14:solidFill>
          </w14:textFill>
        </w:rPr>
        <w:t>（六）政府债务情况。</w:t>
      </w:r>
      <w:r>
        <w:rPr>
          <w:rFonts w:hint="eastAsia" w:ascii="仿宋" w:hAnsi="仿宋" w:eastAsia="仿宋"/>
          <w:color w:val="000000" w:themeColor="text1"/>
          <w:sz w:val="32"/>
          <w:szCs w:val="32"/>
          <w:shd w:val="clear" w:color="auto" w:fill="auto"/>
          <w14:textFill>
            <w14:solidFill>
              <w14:schemeClr w14:val="tx1"/>
            </w14:solidFill>
          </w14:textFill>
        </w:rPr>
        <w:t>本部门</w:t>
      </w:r>
      <w:r>
        <w:rPr>
          <w:rFonts w:hint="eastAsia" w:ascii="仿宋" w:hAnsi="仿宋" w:eastAsia="仿宋"/>
          <w:color w:val="000000" w:themeColor="text1"/>
          <w:sz w:val="32"/>
          <w:szCs w:val="32"/>
          <w:shd w:val="clear" w:color="auto" w:fill="auto"/>
          <w:lang w:val="en-US" w:eastAsia="zh-CN"/>
          <w14:textFill>
            <w14:solidFill>
              <w14:schemeClr w14:val="tx1"/>
            </w14:solidFill>
          </w14:textFill>
        </w:rPr>
        <w:t>没有</w:t>
      </w:r>
      <w:r>
        <w:rPr>
          <w:rFonts w:hint="eastAsia" w:ascii="仿宋" w:hAnsi="仿宋" w:eastAsia="仿宋"/>
          <w:color w:val="000000" w:themeColor="text1"/>
          <w:sz w:val="32"/>
          <w:szCs w:val="32"/>
          <w:shd w:val="clear" w:color="auto" w:fill="auto"/>
          <w14:textFill>
            <w14:solidFill>
              <w14:schemeClr w14:val="tx1"/>
            </w14:solidFill>
          </w14:textFill>
        </w:rPr>
        <w:t>使用和管理政府债券资金情况</w:t>
      </w:r>
    </w:p>
    <w:p w14:paraId="28887B82">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14:textFill>
            <w14:solidFill>
              <w14:schemeClr w14:val="tx1"/>
            </w14:solidFill>
          </w14:textFill>
        </w:rPr>
        <w:t>第四部分</w:t>
      </w:r>
    </w:p>
    <w:p w14:paraId="6290FEDE">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r>
        <w:rPr>
          <w:rFonts w:hint="eastAsia" w:ascii="方正小标宋简体" w:hAnsi="仿宋" w:eastAsia="方正小标宋简体"/>
          <w:color w:val="000000" w:themeColor="text1"/>
          <w:sz w:val="32"/>
          <w:szCs w:val="32"/>
          <w:shd w:val="clear" w:color="auto" w:fill="auto"/>
          <w14:textFill>
            <w14:solidFill>
              <w14:schemeClr w14:val="tx1"/>
            </w14:solidFill>
          </w14:textFill>
        </w:rPr>
        <w:t>名词解释</w:t>
      </w:r>
    </w:p>
    <w:p w14:paraId="04CEDEF3">
      <w:pPr>
        <w:keepNext w:val="0"/>
        <w:keepLines w:val="0"/>
        <w:pageBreakBefore w:val="0"/>
        <w:widowControl w:val="0"/>
        <w:kinsoku/>
        <w:wordWrap/>
        <w:overflowPunct/>
        <w:topLinePunct w:val="0"/>
        <w:bidi w:val="0"/>
        <w:snapToGrid/>
        <w:spacing w:line="576" w:lineRule="exact"/>
        <w:jc w:val="center"/>
        <w:textAlignment w:val="auto"/>
        <w:rPr>
          <w:rFonts w:ascii="方正小标宋简体" w:hAnsi="仿宋" w:eastAsia="方正小标宋简体"/>
          <w:color w:val="000000" w:themeColor="text1"/>
          <w:sz w:val="32"/>
          <w:szCs w:val="32"/>
          <w:shd w:val="clear" w:color="auto" w:fill="auto"/>
          <w14:textFill>
            <w14:solidFill>
              <w14:schemeClr w14:val="tx1"/>
            </w14:solidFill>
          </w14:textFill>
        </w:rPr>
      </w:pPr>
    </w:p>
    <w:p w14:paraId="246468E5">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仿宋" w:hAnsi="仿宋" w:eastAsia="仿宋"/>
          <w:color w:val="000000" w:themeColor="text1"/>
          <w:sz w:val="32"/>
          <w:szCs w:val="32"/>
          <w:shd w:val="clear" w:color="auto" w:fill="auto"/>
          <w14:textFill>
            <w14:solidFill>
              <w14:schemeClr w14:val="tx1"/>
            </w14:solidFill>
          </w14:textFill>
        </w:rPr>
        <w:t>（对部门</w:t>
      </w:r>
      <w:r>
        <w:rPr>
          <w:rFonts w:ascii="仿宋" w:hAnsi="仿宋" w:eastAsia="仿宋"/>
          <w:color w:val="000000" w:themeColor="text1"/>
          <w:sz w:val="32"/>
          <w:szCs w:val="32"/>
          <w:shd w:val="clear" w:color="auto" w:fill="auto"/>
          <w14:textFill>
            <w14:solidFill>
              <w14:schemeClr w14:val="tx1"/>
            </w14:solidFill>
          </w14:textFill>
        </w:rPr>
        <w:t>和单位</w:t>
      </w:r>
      <w:r>
        <w:rPr>
          <w:rFonts w:hint="eastAsia" w:ascii="仿宋" w:hAnsi="仿宋" w:eastAsia="仿宋"/>
          <w:color w:val="000000" w:themeColor="text1"/>
          <w:sz w:val="32"/>
          <w:szCs w:val="32"/>
          <w:shd w:val="clear" w:color="auto" w:fill="auto"/>
          <w14:textFill>
            <w14:solidFill>
              <w14:schemeClr w14:val="tx1"/>
            </w14:solidFill>
          </w14:textFill>
        </w:rPr>
        <w:t>专业</w:t>
      </w:r>
      <w:r>
        <w:rPr>
          <w:rFonts w:ascii="仿宋" w:hAnsi="仿宋" w:eastAsia="仿宋"/>
          <w:color w:val="000000" w:themeColor="text1"/>
          <w:sz w:val="32"/>
          <w:szCs w:val="32"/>
          <w:shd w:val="clear" w:color="auto" w:fill="auto"/>
          <w14:textFill>
            <w14:solidFill>
              <w14:schemeClr w14:val="tx1"/>
            </w14:solidFill>
          </w14:textFill>
        </w:rPr>
        <w:t>性较强的名次进行解释</w:t>
      </w:r>
      <w:r>
        <w:rPr>
          <w:rFonts w:hint="eastAsia" w:ascii="仿宋" w:hAnsi="仿宋" w:eastAsia="仿宋"/>
          <w:color w:val="000000" w:themeColor="text1"/>
          <w:sz w:val="32"/>
          <w:szCs w:val="32"/>
          <w:shd w:val="clear" w:color="auto" w:fill="auto"/>
          <w14:textFill>
            <w14:solidFill>
              <w14:schemeClr w14:val="tx1"/>
            </w14:solidFill>
          </w14:textFill>
        </w:rPr>
        <w:t>。）</w:t>
      </w:r>
    </w:p>
    <w:p w14:paraId="5E5E39A0">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一、财政拨款收入：</w:t>
      </w:r>
      <w:r>
        <w:rPr>
          <w:rFonts w:hint="eastAsia" w:ascii="仿宋" w:hAnsi="仿宋" w:eastAsia="仿宋"/>
          <w:color w:val="000000" w:themeColor="text1"/>
          <w:sz w:val="32"/>
          <w:szCs w:val="32"/>
          <w:shd w:val="clear" w:color="auto" w:fill="auto"/>
          <w14:textFill>
            <w14:solidFill>
              <w14:schemeClr w14:val="tx1"/>
            </w14:solidFill>
          </w14:textFill>
        </w:rPr>
        <w:t>本级财政部门当年拨付的财政预算资金，包括一般公共预算财政拨款、政府性基金预算财政拨款和</w:t>
      </w:r>
      <w:r>
        <w:rPr>
          <w:rFonts w:ascii="仿宋" w:hAnsi="仿宋" w:eastAsia="仿宋"/>
          <w:color w:val="000000" w:themeColor="text1"/>
          <w:sz w:val="32"/>
          <w:szCs w:val="32"/>
          <w:shd w:val="clear" w:color="auto" w:fill="auto"/>
          <w14:textFill>
            <w14:solidFill>
              <w14:schemeClr w14:val="tx1"/>
            </w14:solidFill>
          </w14:textFill>
        </w:rPr>
        <w:t>国资预算财政拨款</w:t>
      </w:r>
      <w:r>
        <w:rPr>
          <w:rFonts w:hint="eastAsia" w:ascii="仿宋" w:hAnsi="仿宋" w:eastAsia="仿宋"/>
          <w:color w:val="000000" w:themeColor="text1"/>
          <w:sz w:val="32"/>
          <w:szCs w:val="32"/>
          <w:shd w:val="clear" w:color="auto" w:fill="auto"/>
          <w14:textFill>
            <w14:solidFill>
              <w14:schemeClr w14:val="tx1"/>
            </w14:solidFill>
          </w14:textFill>
        </w:rPr>
        <w:t>。</w:t>
      </w:r>
    </w:p>
    <w:p w14:paraId="4BBAC928">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二、事业收入：</w:t>
      </w:r>
      <w:r>
        <w:rPr>
          <w:rFonts w:hint="eastAsia" w:ascii="仿宋" w:hAnsi="仿宋" w:eastAsia="仿宋"/>
          <w:color w:val="000000" w:themeColor="text1"/>
          <w:sz w:val="32"/>
          <w:szCs w:val="32"/>
          <w:shd w:val="clear" w:color="auto" w:fill="auto"/>
          <w14:textFill>
            <w14:solidFill>
              <w14:schemeClr w14:val="tx1"/>
            </w14:solidFill>
          </w14:textFill>
        </w:rPr>
        <w:t>指事业单位开展专业业务活动及辅助活动所取得的收入。</w:t>
      </w:r>
    </w:p>
    <w:p w14:paraId="76F05807">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三、事业单位经营收入：</w:t>
      </w:r>
      <w:r>
        <w:rPr>
          <w:rFonts w:hint="eastAsia" w:ascii="仿宋" w:hAnsi="仿宋" w:eastAsia="仿宋"/>
          <w:color w:val="000000" w:themeColor="text1"/>
          <w:sz w:val="32"/>
          <w:szCs w:val="32"/>
          <w:shd w:val="clear" w:color="auto" w:fill="auto"/>
          <w14:textFill>
            <w14:solidFill>
              <w14:schemeClr w14:val="tx1"/>
            </w14:solidFill>
          </w14:textFill>
        </w:rPr>
        <w:t>指事业单位在专业业务活动及其辅助活动之外开展非独立核算经营活动取得的收入。</w:t>
      </w:r>
    </w:p>
    <w:p w14:paraId="3E89E480">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四</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机关运行经费：</w:t>
      </w:r>
      <w:r>
        <w:rPr>
          <w:rFonts w:hint="eastAsia" w:ascii="仿宋" w:hAnsi="仿宋" w:eastAsia="仿宋"/>
          <w:color w:val="000000" w:themeColor="text1"/>
          <w:sz w:val="32"/>
          <w:szCs w:val="32"/>
          <w:shd w:val="clear" w:color="auto" w:fill="auto"/>
          <w14:textFill>
            <w14:solidFill>
              <w14:schemeClr w14:val="tx1"/>
            </w14:solidFill>
          </w14:textFill>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98C82D1">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ascii="黑体" w:hAnsi="黑体" w:eastAsia="黑体"/>
          <w:color w:val="000000" w:themeColor="text1"/>
          <w:sz w:val="32"/>
          <w:szCs w:val="32"/>
          <w:shd w:val="clear" w:color="auto" w:fill="auto"/>
          <w14:textFill>
            <w14:solidFill>
              <w14:schemeClr w14:val="tx1"/>
            </w14:solidFill>
          </w14:textFill>
        </w:rPr>
        <w:t>五</w:t>
      </w:r>
      <w:r>
        <w:rPr>
          <w:rFonts w:hint="eastAsia" w:ascii="黑体" w:hAnsi="黑体" w:eastAsia="黑体"/>
          <w:color w:val="000000" w:themeColor="text1"/>
          <w:sz w:val="32"/>
          <w:szCs w:val="32"/>
          <w:shd w:val="clear" w:color="auto" w:fill="auto"/>
          <w14:textFill>
            <w14:solidFill>
              <w14:schemeClr w14:val="tx1"/>
            </w14:solidFill>
          </w14:textFill>
        </w:rPr>
        <w:t>、其他收入：</w:t>
      </w:r>
      <w:r>
        <w:rPr>
          <w:rFonts w:hint="eastAsia" w:ascii="仿宋" w:hAnsi="仿宋" w:eastAsia="仿宋"/>
          <w:color w:val="000000" w:themeColor="text1"/>
          <w:sz w:val="32"/>
          <w:szCs w:val="32"/>
          <w:shd w:val="clear" w:color="auto" w:fill="auto"/>
          <w14:textFill>
            <w14:solidFill>
              <w14:schemeClr w14:val="tx1"/>
            </w14:solidFill>
          </w14:textFill>
        </w:rPr>
        <w:t>指除上述“一般公共预算拨款收入”、“事业收入”、“事业单位经营收入”等以外的收入。主要是按规定动用的售房收入、存款利息收入等。</w:t>
      </w:r>
    </w:p>
    <w:p w14:paraId="19342407">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六、上年结转：</w:t>
      </w:r>
      <w:r>
        <w:rPr>
          <w:rFonts w:hint="eastAsia" w:ascii="仿宋" w:hAnsi="仿宋" w:eastAsia="仿宋"/>
          <w:color w:val="000000" w:themeColor="text1"/>
          <w:sz w:val="32"/>
          <w:szCs w:val="32"/>
          <w:shd w:val="clear" w:color="auto" w:fill="auto"/>
          <w14:textFill>
            <w14:solidFill>
              <w14:schemeClr w14:val="tx1"/>
            </w14:solidFill>
          </w14:textFill>
        </w:rPr>
        <w:t>指以前年度安排、结转到本年仍按原规定用途继续使用的资金。</w:t>
      </w:r>
    </w:p>
    <w:p w14:paraId="7D881813">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七</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重点项目：</w:t>
      </w:r>
      <w:r>
        <w:rPr>
          <w:rFonts w:hint="eastAsia" w:ascii="仿宋" w:hAnsi="仿宋" w:eastAsia="仿宋"/>
          <w:color w:val="000000" w:themeColor="text1"/>
          <w:sz w:val="32"/>
          <w:szCs w:val="32"/>
          <w:shd w:val="clear" w:color="auto" w:fill="auto"/>
          <w14:textFill>
            <w14:solidFill>
              <w14:schemeClr w14:val="tx1"/>
            </w14:solidFill>
          </w14:textFill>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4BB0A448">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color w:val="000000" w:themeColor="text1"/>
          <w:kern w:val="0"/>
          <w:sz w:val="32"/>
          <w:szCs w:val="32"/>
          <w:shd w:val="clear" w:color="auto" w:fill="auto"/>
          <w14:textFill>
            <w14:solidFill>
              <w14:schemeClr w14:val="tx1"/>
            </w14:solidFill>
          </w14:textFill>
        </w:rPr>
      </w:pPr>
      <w:r>
        <w:rPr>
          <w:rFonts w:ascii="黑体" w:hAnsi="黑体" w:eastAsia="黑体"/>
          <w:color w:val="000000" w:themeColor="text1"/>
          <w:sz w:val="32"/>
          <w:szCs w:val="32"/>
          <w:shd w:val="clear" w:color="auto" w:fill="auto"/>
          <w14:textFill>
            <w14:solidFill>
              <w14:schemeClr w14:val="tx1"/>
            </w14:solidFill>
          </w14:textFill>
        </w:rPr>
        <w:t>八、基本</w:t>
      </w:r>
      <w:r>
        <w:rPr>
          <w:rFonts w:hint="eastAsia" w:ascii="黑体" w:hAnsi="黑体" w:eastAsia="黑体"/>
          <w:color w:val="000000" w:themeColor="text1"/>
          <w:sz w:val="32"/>
          <w:szCs w:val="32"/>
          <w:shd w:val="clear" w:color="auto" w:fill="auto"/>
          <w14:textFill>
            <w14:solidFill>
              <w14:schemeClr w14:val="tx1"/>
            </w14:solidFill>
          </w14:textFill>
        </w:rPr>
        <w:t>支出：</w:t>
      </w:r>
      <w:r>
        <w:rPr>
          <w:rFonts w:hint="eastAsia" w:ascii="仿宋" w:hAnsi="仿宋" w:eastAsia="仿宋"/>
          <w:color w:val="000000" w:themeColor="text1"/>
          <w:sz w:val="32"/>
          <w:szCs w:val="32"/>
          <w:shd w:val="clear" w:color="auto" w:fill="auto"/>
          <w14:textFill>
            <w14:solidFill>
              <w14:schemeClr w14:val="tx1"/>
            </w14:solidFill>
          </w14:textFill>
        </w:rPr>
        <w:t>指为保障机构正常运转、完成日常工作任务而发生的人员支出和公用支出。</w:t>
      </w:r>
    </w:p>
    <w:p w14:paraId="17306A45">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九</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项目支出：</w:t>
      </w:r>
      <w:r>
        <w:rPr>
          <w:rFonts w:hint="eastAsia" w:ascii="仿宋" w:hAnsi="仿宋" w:eastAsia="仿宋"/>
          <w:color w:val="000000" w:themeColor="text1"/>
          <w:sz w:val="32"/>
          <w:szCs w:val="32"/>
          <w:shd w:val="clear" w:color="auto" w:fill="auto"/>
          <w14:textFill>
            <w14:solidFill>
              <w14:schemeClr w14:val="tx1"/>
            </w14:solidFill>
          </w14:textFill>
        </w:rPr>
        <w:t>指在基本支出之外为完成特定行政任务或事业发展目标所发生的支出。</w:t>
      </w:r>
    </w:p>
    <w:p w14:paraId="3C5F4A26">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hint="eastAsia" w:ascii="仿宋" w:hAnsi="仿宋" w:eastAsia="仿宋"/>
          <w:color w:val="000000" w:themeColor="text1"/>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十</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“三公”经费：</w:t>
      </w:r>
      <w:r>
        <w:rPr>
          <w:rFonts w:hint="eastAsia" w:ascii="仿宋" w:hAnsi="仿宋" w:eastAsia="仿宋"/>
          <w:color w:val="000000" w:themeColor="text1"/>
          <w:sz w:val="32"/>
          <w:szCs w:val="32"/>
          <w:shd w:val="clear" w:color="auto" w:fill="auto"/>
          <w14:textFill>
            <w14:solidFill>
              <w14:schemeClr w14:val="tx1"/>
            </w14:solidFill>
          </w14:textFill>
        </w:rPr>
        <w:t>是指安排的因公出国（境）费、公务用车购置及运行维护费和公务接待费。</w:t>
      </w:r>
    </w:p>
    <w:p w14:paraId="079156DA">
      <w:pPr>
        <w:keepNext w:val="0"/>
        <w:keepLines w:val="0"/>
        <w:pageBreakBefore w:val="0"/>
        <w:widowControl w:val="0"/>
        <w:kinsoku/>
        <w:wordWrap/>
        <w:overflowPunct/>
        <w:topLinePunct w:val="0"/>
        <w:autoSpaceDE w:val="0"/>
        <w:autoSpaceDN w:val="0"/>
        <w:bidi w:val="0"/>
        <w:adjustRightInd w:val="0"/>
        <w:snapToGrid/>
        <w:spacing w:line="576" w:lineRule="exact"/>
        <w:ind w:firstLine="640" w:firstLineChars="200"/>
        <w:jc w:val="left"/>
        <w:textAlignment w:val="auto"/>
        <w:rPr>
          <w:rFonts w:ascii="仿宋_GB2312" w:eastAsia="仿宋_GB2312" w:cs="仿宋_GB2312" w:hAnsiTheme="minorHAnsi"/>
          <w:color w:val="000000" w:themeColor="text1"/>
          <w:kern w:val="0"/>
          <w:sz w:val="32"/>
          <w:szCs w:val="32"/>
          <w:shd w:val="clear" w:color="auto" w:fill="auto"/>
          <w14:textFill>
            <w14:solidFill>
              <w14:schemeClr w14:val="tx1"/>
            </w14:solidFill>
          </w14:textFill>
        </w:rPr>
      </w:pPr>
      <w:r>
        <w:rPr>
          <w:rFonts w:hint="eastAsia" w:ascii="黑体" w:hAnsi="黑体" w:eastAsia="黑体"/>
          <w:color w:val="000000" w:themeColor="text1"/>
          <w:sz w:val="32"/>
          <w:szCs w:val="32"/>
          <w:shd w:val="clear" w:color="auto" w:fill="auto"/>
          <w14:textFill>
            <w14:solidFill>
              <w14:schemeClr w14:val="tx1"/>
            </w14:solidFill>
          </w14:textFill>
        </w:rPr>
        <w:t>十</w:t>
      </w:r>
      <w:r>
        <w:rPr>
          <w:rFonts w:ascii="黑体" w:hAnsi="黑体" w:eastAsia="黑体"/>
          <w:color w:val="000000" w:themeColor="text1"/>
          <w:sz w:val="32"/>
          <w:szCs w:val="32"/>
          <w:shd w:val="clear" w:color="auto" w:fill="auto"/>
          <w14:textFill>
            <w14:solidFill>
              <w14:schemeClr w14:val="tx1"/>
            </w14:solidFill>
          </w14:textFill>
        </w:rPr>
        <w:t>、</w:t>
      </w:r>
      <w:r>
        <w:rPr>
          <w:rFonts w:hint="eastAsia" w:ascii="黑体" w:hAnsi="黑体" w:eastAsia="黑体"/>
          <w:color w:val="000000" w:themeColor="text1"/>
          <w:sz w:val="32"/>
          <w:szCs w:val="32"/>
          <w:shd w:val="clear" w:color="auto" w:fill="auto"/>
          <w14:textFill>
            <w14:solidFill>
              <w14:schemeClr w14:val="tx1"/>
            </w14:solidFill>
          </w14:textFill>
        </w:rPr>
        <w:t>事业单位经营支出：</w:t>
      </w:r>
      <w:r>
        <w:rPr>
          <w:rFonts w:hint="eastAsia" w:ascii="仿宋" w:hAnsi="仿宋" w:eastAsia="仿宋"/>
          <w:color w:val="000000" w:themeColor="text1"/>
          <w:sz w:val="32"/>
          <w:szCs w:val="32"/>
          <w:shd w:val="clear" w:color="auto" w:fill="auto"/>
          <w14:textFill>
            <w14:solidFill>
              <w14:schemeClr w14:val="tx1"/>
            </w14:solidFill>
          </w14:textFill>
        </w:rPr>
        <w:t>指事业单位在专业业务活动及其辅助活动之外开展非独立核算经营活动发生的支出。</w:t>
      </w:r>
    </w:p>
    <w:p w14:paraId="3D30A593">
      <w:pPr>
        <w:keepNext w:val="0"/>
        <w:keepLines w:val="0"/>
        <w:pageBreakBefore w:val="0"/>
        <w:widowControl w:val="0"/>
        <w:kinsoku/>
        <w:wordWrap/>
        <w:overflowPunct/>
        <w:topLinePunct w:val="0"/>
        <w:bidi w:val="0"/>
        <w:snapToGrid/>
        <w:spacing w:line="576" w:lineRule="exact"/>
        <w:ind w:firstLine="640" w:firstLineChars="200"/>
        <w:textAlignment w:val="auto"/>
        <w:rPr>
          <w:rFonts w:ascii="仿宋" w:hAnsi="仿宋" w:eastAsia="仿宋"/>
          <w:color w:val="000000" w:themeColor="text1"/>
          <w:sz w:val="32"/>
          <w:szCs w:val="32"/>
          <w:shd w:val="clear" w:color="auto" w:fill="auto"/>
          <w14:textFill>
            <w14:solidFill>
              <w14:schemeClr w14:val="tx1"/>
            </w14:solidFill>
          </w14:textFill>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8F011EA-2ADC-4E4E-B925-42F63D5827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7609185F-4A85-48CC-8E43-47F87D2A2411}"/>
  </w:font>
  <w:font w:name="方正小标宋简体">
    <w:panose1 w:val="03000509000000000000"/>
    <w:charset w:val="86"/>
    <w:family w:val="script"/>
    <w:pitch w:val="default"/>
    <w:sig w:usb0="00000001" w:usb1="080E0000" w:usb2="00000000" w:usb3="00000000" w:csb0="00040000" w:csb1="00000000"/>
    <w:embedRegular r:id="rId3" w:fontKey="{A60EBD66-2582-47D5-9990-0376379A173D}"/>
  </w:font>
  <w:font w:name="仿宋">
    <w:panose1 w:val="02010609060101010101"/>
    <w:charset w:val="86"/>
    <w:family w:val="decorative"/>
    <w:pitch w:val="default"/>
    <w:sig w:usb0="800002BF" w:usb1="38CF7CFA" w:usb2="00000016" w:usb3="00000000" w:csb0="00040001" w:csb1="00000000"/>
    <w:embedRegular r:id="rId4" w:fontKey="{11D716F0-5B21-406F-986A-DD74BA89B7B1}"/>
  </w:font>
  <w:font w:name="方正楷体_GBK">
    <w:panose1 w:val="03000509000000000000"/>
    <w:charset w:val="86"/>
    <w:family w:val="auto"/>
    <w:pitch w:val="default"/>
    <w:sig w:usb0="00000001" w:usb1="080E0000" w:usb2="00000000" w:usb3="00000000" w:csb0="00040000" w:csb1="00000000"/>
    <w:embedRegular r:id="rId5" w:fontKey="{F2632035-9A94-43C6-B68A-EB7A9B685F54}"/>
  </w:font>
  <w:font w:name="仿宋_GB2312">
    <w:panose1 w:val="02010609030101010101"/>
    <w:charset w:val="86"/>
    <w:family w:val="decorative"/>
    <w:pitch w:val="default"/>
    <w:sig w:usb0="00000001" w:usb1="080E0000" w:usb2="00000000" w:usb3="00000000" w:csb0="00040000" w:csb1="00000000"/>
    <w:embedRegular r:id="rId6" w:fontKey="{8AD02CCD-9272-4E74-8CDA-17A8A4F2BC99}"/>
  </w:font>
  <w:font w:name="楷体">
    <w:panose1 w:val="02010609060101010101"/>
    <w:charset w:val="86"/>
    <w:family w:val="decorative"/>
    <w:pitch w:val="default"/>
    <w:sig w:usb0="800002BF" w:usb1="38CF7CFA" w:usb2="00000016" w:usb3="00000000" w:csb0="00040001" w:csb1="00000000"/>
    <w:embedRegular r:id="rId7" w:fontKey="{C83FFA23-56F4-44CC-ACDB-208736B5CA57}"/>
  </w:font>
  <w:font w:name="微软雅黑">
    <w:panose1 w:val="020B0503020204020204"/>
    <w:charset w:val="86"/>
    <w:family w:val="auto"/>
    <w:pitch w:val="default"/>
    <w:sig w:usb0="80000287" w:usb1="28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9FFBC">
    <w:pPr>
      <w:pStyle w:val="3"/>
      <w:framePr w:wrap="around" w:vAnchor="text" w:hAnchor="margin" w:xAlign="center" w:y="1"/>
      <w:rPr>
        <w:rStyle w:val="8"/>
        <w:rFonts w:ascii="宋体" w:hAnsi="宋体" w:eastAsia="宋体"/>
        <w:sz w:val="24"/>
        <w:szCs w:val="24"/>
      </w:rPr>
    </w:pPr>
    <w:r>
      <w:rPr>
        <w:rStyle w:val="8"/>
        <w:rFonts w:ascii="宋体" w:hAnsi="宋体" w:eastAsia="宋体"/>
        <w:sz w:val="24"/>
        <w:szCs w:val="24"/>
      </w:rPr>
      <w:fldChar w:fldCharType="begin"/>
    </w:r>
    <w:r>
      <w:rPr>
        <w:rStyle w:val="8"/>
        <w:rFonts w:ascii="宋体" w:hAnsi="宋体" w:eastAsia="宋体"/>
        <w:sz w:val="24"/>
        <w:szCs w:val="24"/>
      </w:rPr>
      <w:instrText xml:space="preserve">PAGE  </w:instrText>
    </w:r>
    <w:r>
      <w:rPr>
        <w:rStyle w:val="8"/>
        <w:rFonts w:ascii="宋体" w:hAnsi="宋体" w:eastAsia="宋体"/>
        <w:sz w:val="24"/>
        <w:szCs w:val="24"/>
      </w:rPr>
      <w:fldChar w:fldCharType="separate"/>
    </w:r>
    <w:r>
      <w:rPr>
        <w:rStyle w:val="8"/>
        <w:rFonts w:ascii="宋体" w:hAnsi="宋体" w:eastAsia="宋体"/>
        <w:sz w:val="24"/>
        <w:szCs w:val="24"/>
      </w:rPr>
      <w:t>- 3 -</w:t>
    </w:r>
    <w:r>
      <w:rPr>
        <w:rStyle w:val="8"/>
        <w:rFonts w:ascii="宋体" w:hAnsi="宋体" w:eastAsia="宋体"/>
        <w:sz w:val="24"/>
        <w:szCs w:val="24"/>
      </w:rPr>
      <w:fldChar w:fldCharType="end"/>
    </w:r>
  </w:p>
  <w:p w14:paraId="2532E83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14E93">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3522A3A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32151">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FD6EDF"/>
    <w:multiLevelType w:val="singleLevel"/>
    <w:tmpl w:val="B7FD6ED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VhODhiNDFkNWZlNTU0YTdlMDY2ODFlYTMyODk4MDEifQ=="/>
  </w:docVars>
  <w:rsids>
    <w:rsidRoot w:val="00643004"/>
    <w:rsid w:val="00006EF3"/>
    <w:rsid w:val="00010911"/>
    <w:rsid w:val="0001296C"/>
    <w:rsid w:val="00015A4C"/>
    <w:rsid w:val="000214DB"/>
    <w:rsid w:val="00023250"/>
    <w:rsid w:val="00025C9A"/>
    <w:rsid w:val="000336AD"/>
    <w:rsid w:val="00041C59"/>
    <w:rsid w:val="00043A5F"/>
    <w:rsid w:val="00043AA8"/>
    <w:rsid w:val="0006129E"/>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137ECF"/>
    <w:rsid w:val="037441B6"/>
    <w:rsid w:val="048B2A85"/>
    <w:rsid w:val="0C25027D"/>
    <w:rsid w:val="11980BDF"/>
    <w:rsid w:val="11E53CED"/>
    <w:rsid w:val="128F7902"/>
    <w:rsid w:val="14181987"/>
    <w:rsid w:val="148C1946"/>
    <w:rsid w:val="17D62327"/>
    <w:rsid w:val="18CF0AF0"/>
    <w:rsid w:val="193070E1"/>
    <w:rsid w:val="1D5C3938"/>
    <w:rsid w:val="1E977E3D"/>
    <w:rsid w:val="1FFB5506"/>
    <w:rsid w:val="21D44D8B"/>
    <w:rsid w:val="23651C9F"/>
    <w:rsid w:val="26175410"/>
    <w:rsid w:val="263230B7"/>
    <w:rsid w:val="29DB09B9"/>
    <w:rsid w:val="2B4B0385"/>
    <w:rsid w:val="2C4442AB"/>
    <w:rsid w:val="2C88151C"/>
    <w:rsid w:val="2D1F2D15"/>
    <w:rsid w:val="2D5409B8"/>
    <w:rsid w:val="2D8B7E46"/>
    <w:rsid w:val="2DB97690"/>
    <w:rsid w:val="2F6376CB"/>
    <w:rsid w:val="2FD23583"/>
    <w:rsid w:val="30303CBF"/>
    <w:rsid w:val="314224E0"/>
    <w:rsid w:val="3164541C"/>
    <w:rsid w:val="31A87524"/>
    <w:rsid w:val="320F63B0"/>
    <w:rsid w:val="34814B30"/>
    <w:rsid w:val="39636C52"/>
    <w:rsid w:val="3D320BF7"/>
    <w:rsid w:val="3EEA46C5"/>
    <w:rsid w:val="40877969"/>
    <w:rsid w:val="411A23BE"/>
    <w:rsid w:val="42122973"/>
    <w:rsid w:val="47226FD9"/>
    <w:rsid w:val="4A6C4D26"/>
    <w:rsid w:val="4C0E1ED4"/>
    <w:rsid w:val="4E514A0D"/>
    <w:rsid w:val="4FA407B6"/>
    <w:rsid w:val="4FB11B86"/>
    <w:rsid w:val="529B0814"/>
    <w:rsid w:val="52FE76C6"/>
    <w:rsid w:val="54113878"/>
    <w:rsid w:val="56CE49F6"/>
    <w:rsid w:val="59161438"/>
    <w:rsid w:val="5C0A6E8C"/>
    <w:rsid w:val="5C5C0E94"/>
    <w:rsid w:val="5C9B4B66"/>
    <w:rsid w:val="5CFD0A1E"/>
    <w:rsid w:val="5D164480"/>
    <w:rsid w:val="5E0324CA"/>
    <w:rsid w:val="5EC60009"/>
    <w:rsid w:val="5ED52E57"/>
    <w:rsid w:val="5F9728E0"/>
    <w:rsid w:val="5FFF100B"/>
    <w:rsid w:val="62594319"/>
    <w:rsid w:val="6CA517CF"/>
    <w:rsid w:val="6D5618F5"/>
    <w:rsid w:val="6FE902A7"/>
    <w:rsid w:val="70427A3C"/>
    <w:rsid w:val="71047B41"/>
    <w:rsid w:val="712831B2"/>
    <w:rsid w:val="718C2ED6"/>
    <w:rsid w:val="73CC4A8A"/>
    <w:rsid w:val="77692B6F"/>
    <w:rsid w:val="78654DF4"/>
    <w:rsid w:val="791A48BC"/>
    <w:rsid w:val="792067C5"/>
    <w:rsid w:val="792370E5"/>
    <w:rsid w:val="79D762F4"/>
    <w:rsid w:val="7BFA3AF7"/>
    <w:rsid w:val="7FE21D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2208</Words>
  <Characters>2540</Characters>
  <Lines>33</Lines>
  <Paragraphs>9</Paragraphs>
  <TotalTime>4</TotalTime>
  <ScaleCrop>false</ScaleCrop>
  <LinksUpToDate>false</LinksUpToDate>
  <CharactersWithSpaces>2553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ཕ་བཟང་བུ་</cp:lastModifiedBy>
  <cp:lastPrinted>2025-02-26T03:54:26Z</cp:lastPrinted>
  <dcterms:modified xsi:type="dcterms:W3CDTF">2025-02-26T03:57:38Z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154CDD780EC34BB0BBDC2BDADB139536_13</vt:lpwstr>
  </property>
  <property fmtid="{D5CDD505-2E9C-101B-9397-08002B2CF9AE}" pid="4" name="KSOTemplateDocerSaveRecord">
    <vt:lpwstr>eyJoZGlkIjoiMjExN2Y5MTIxODRkNThlMmNiM2U3MTliNDRiODBhNGEiLCJ1c2VySWQiOiI0NTAwODU5NzAifQ==</vt:lpwstr>
  </property>
</Properties>
</file>