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FAFA6">
      <w:pPr>
        <w:rPr>
          <w:rFonts w:hint="default" w:ascii="Times New Roman" w:hAnsi="Times New Roman" w:eastAsia="仿宋" w:cs="Times New Roman"/>
          <w:color w:val="auto"/>
          <w:sz w:val="32"/>
          <w:szCs w:val="32"/>
        </w:rPr>
      </w:pPr>
    </w:p>
    <w:p w14:paraId="5DB7A3CF">
      <w:pPr>
        <w:rPr>
          <w:rFonts w:hint="default" w:ascii="Times New Roman" w:hAnsi="Times New Roman" w:eastAsia="仿宋" w:cs="Times New Roman"/>
          <w:color w:val="auto"/>
          <w:sz w:val="32"/>
          <w:szCs w:val="32"/>
        </w:rPr>
      </w:pPr>
    </w:p>
    <w:p w14:paraId="4E353733">
      <w:pPr>
        <w:rPr>
          <w:rFonts w:hint="default" w:ascii="Times New Roman" w:hAnsi="Times New Roman" w:eastAsia="仿宋" w:cs="Times New Roman"/>
          <w:color w:val="auto"/>
          <w:sz w:val="32"/>
          <w:szCs w:val="32"/>
        </w:rPr>
      </w:pPr>
    </w:p>
    <w:p w14:paraId="0B324A33">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尼玛县财政局2025</w:t>
      </w:r>
      <w:r>
        <w:rPr>
          <w:rFonts w:hint="default" w:ascii="Times New Roman" w:hAnsi="Times New Roman" w:eastAsia="方正小标宋简体" w:cs="Times New Roman"/>
          <w:color w:val="auto"/>
          <w:sz w:val="44"/>
          <w:szCs w:val="44"/>
        </w:rPr>
        <w:t>年度部门（单位）预算</w:t>
      </w:r>
    </w:p>
    <w:p w14:paraId="3AE7E6DD">
      <w:pPr>
        <w:rPr>
          <w:rFonts w:hint="default" w:ascii="Times New Roman" w:hAnsi="Times New Roman" w:eastAsia="仿宋" w:cs="Times New Roman"/>
          <w:color w:val="auto"/>
          <w:sz w:val="32"/>
          <w:szCs w:val="32"/>
        </w:rPr>
      </w:pPr>
    </w:p>
    <w:p w14:paraId="2D38AE04">
      <w:pPr>
        <w:rPr>
          <w:rFonts w:hint="default" w:ascii="Times New Roman" w:hAnsi="Times New Roman" w:eastAsia="仿宋" w:cs="Times New Roman"/>
          <w:color w:val="auto"/>
          <w:sz w:val="32"/>
          <w:szCs w:val="32"/>
        </w:rPr>
      </w:pPr>
    </w:p>
    <w:p w14:paraId="284FAD13">
      <w:pPr>
        <w:rPr>
          <w:rFonts w:hint="default" w:ascii="Times New Roman" w:hAnsi="Times New Roman" w:eastAsia="仿宋" w:cs="Times New Roman"/>
          <w:color w:val="auto"/>
          <w:sz w:val="32"/>
          <w:szCs w:val="32"/>
        </w:rPr>
      </w:pPr>
    </w:p>
    <w:p w14:paraId="20FBA901">
      <w:pPr>
        <w:rPr>
          <w:rFonts w:hint="default" w:ascii="Times New Roman" w:hAnsi="Times New Roman" w:eastAsia="仿宋" w:cs="Times New Roman"/>
          <w:color w:val="auto"/>
          <w:sz w:val="32"/>
          <w:szCs w:val="32"/>
        </w:rPr>
      </w:pPr>
    </w:p>
    <w:p w14:paraId="15517B38">
      <w:pPr>
        <w:rPr>
          <w:rFonts w:hint="default" w:ascii="Times New Roman" w:hAnsi="Times New Roman" w:eastAsia="仿宋" w:cs="Times New Roman"/>
          <w:color w:val="auto"/>
          <w:sz w:val="32"/>
          <w:szCs w:val="32"/>
        </w:rPr>
      </w:pPr>
    </w:p>
    <w:p w14:paraId="705489FC">
      <w:pPr>
        <w:rPr>
          <w:rFonts w:hint="default" w:ascii="Times New Roman" w:hAnsi="Times New Roman" w:eastAsia="仿宋" w:cs="Times New Roman"/>
          <w:color w:val="auto"/>
          <w:sz w:val="32"/>
          <w:szCs w:val="32"/>
        </w:rPr>
      </w:pPr>
    </w:p>
    <w:p w14:paraId="16761812">
      <w:pPr>
        <w:rPr>
          <w:rFonts w:hint="default" w:ascii="Times New Roman" w:hAnsi="Times New Roman" w:eastAsia="仿宋" w:cs="Times New Roman"/>
          <w:color w:val="auto"/>
          <w:sz w:val="32"/>
          <w:szCs w:val="32"/>
        </w:rPr>
      </w:pPr>
    </w:p>
    <w:p w14:paraId="68D95695">
      <w:pPr>
        <w:rPr>
          <w:rFonts w:hint="default" w:ascii="Times New Roman" w:hAnsi="Times New Roman" w:eastAsia="仿宋" w:cs="Times New Roman"/>
          <w:color w:val="auto"/>
          <w:sz w:val="32"/>
          <w:szCs w:val="32"/>
        </w:rPr>
      </w:pPr>
    </w:p>
    <w:p w14:paraId="324E17BF">
      <w:pPr>
        <w:rPr>
          <w:rFonts w:hint="default" w:ascii="Times New Roman" w:hAnsi="Times New Roman" w:eastAsia="仿宋" w:cs="Times New Roman"/>
          <w:color w:val="auto"/>
          <w:sz w:val="32"/>
          <w:szCs w:val="32"/>
        </w:rPr>
      </w:pPr>
    </w:p>
    <w:p w14:paraId="095CE676">
      <w:pPr>
        <w:rPr>
          <w:rFonts w:hint="default" w:ascii="Times New Roman" w:hAnsi="Times New Roman" w:eastAsia="仿宋" w:cs="Times New Roman"/>
          <w:color w:val="auto"/>
          <w:sz w:val="32"/>
          <w:szCs w:val="32"/>
        </w:rPr>
      </w:pPr>
    </w:p>
    <w:p w14:paraId="634B5096">
      <w:pPr>
        <w:rPr>
          <w:rFonts w:hint="default" w:ascii="Times New Roman" w:hAnsi="Times New Roman" w:eastAsia="仿宋" w:cs="Times New Roman"/>
          <w:color w:val="auto"/>
          <w:sz w:val="32"/>
          <w:szCs w:val="32"/>
        </w:rPr>
      </w:pPr>
    </w:p>
    <w:p w14:paraId="624ADA20">
      <w:pPr>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2025</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 xml:space="preserve"> 月</w:t>
      </w:r>
      <w:r>
        <w:rPr>
          <w:rFonts w:hint="default" w:ascii="Times New Roman" w:hAnsi="Times New Roman" w:eastAsia="仿宋" w:cs="Times New Roman"/>
          <w:color w:val="auto"/>
          <w:sz w:val="32"/>
          <w:szCs w:val="32"/>
          <w:lang w:val="en-US" w:eastAsia="zh-CN"/>
        </w:rPr>
        <w:t>20</w:t>
      </w:r>
      <w:r>
        <w:rPr>
          <w:rFonts w:hint="default" w:ascii="Times New Roman" w:hAnsi="Times New Roman" w:eastAsia="仿宋" w:cs="Times New Roman"/>
          <w:color w:val="auto"/>
          <w:sz w:val="32"/>
          <w:szCs w:val="32"/>
        </w:rPr>
        <w:t>日</w:t>
      </w:r>
    </w:p>
    <w:p w14:paraId="5023F471">
      <w:pPr>
        <w:jc w:val="center"/>
        <w:rPr>
          <w:rFonts w:hint="default" w:ascii="Times New Roman" w:hAnsi="Times New Roman" w:eastAsia="方正小标宋简体" w:cs="Times New Roman"/>
          <w:color w:val="auto"/>
          <w:sz w:val="44"/>
          <w:szCs w:val="44"/>
        </w:rPr>
      </w:pPr>
    </w:p>
    <w:p w14:paraId="1E52A572">
      <w:pPr>
        <w:jc w:val="center"/>
        <w:rPr>
          <w:rFonts w:hint="default" w:ascii="Times New Roman" w:hAnsi="Times New Roman" w:eastAsia="方正小标宋简体" w:cs="Times New Roman"/>
          <w:color w:val="auto"/>
          <w:sz w:val="44"/>
          <w:szCs w:val="44"/>
        </w:rPr>
      </w:pPr>
    </w:p>
    <w:p w14:paraId="49DE21CC">
      <w:pPr>
        <w:jc w:val="center"/>
        <w:rPr>
          <w:rFonts w:hint="default" w:ascii="Times New Roman" w:hAnsi="Times New Roman" w:eastAsia="方正小标宋简体" w:cs="Times New Roman"/>
          <w:color w:val="auto"/>
          <w:sz w:val="44"/>
          <w:szCs w:val="44"/>
        </w:rPr>
      </w:pPr>
    </w:p>
    <w:p w14:paraId="1E4205FE">
      <w:pPr>
        <w:jc w:val="center"/>
        <w:rPr>
          <w:rFonts w:hint="default" w:ascii="Times New Roman" w:hAnsi="Times New Roman" w:eastAsia="方正小标宋简体" w:cs="Times New Roman"/>
          <w:color w:val="auto"/>
          <w:sz w:val="44"/>
          <w:szCs w:val="44"/>
        </w:rPr>
      </w:pPr>
    </w:p>
    <w:p w14:paraId="36BB30C6">
      <w:pPr>
        <w:jc w:val="center"/>
        <w:rPr>
          <w:rFonts w:hint="default" w:ascii="Times New Roman" w:hAnsi="Times New Roman" w:eastAsia="方正小标宋简体" w:cs="Times New Roman"/>
          <w:color w:val="auto"/>
          <w:sz w:val="44"/>
          <w:szCs w:val="44"/>
        </w:rPr>
      </w:pPr>
    </w:p>
    <w:p w14:paraId="2460F77F">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4EB06750">
      <w:pPr>
        <w:rPr>
          <w:rFonts w:hint="default" w:ascii="Times New Roman" w:hAnsi="Times New Roman" w:eastAsia="仿宋" w:cs="Times New Roman"/>
          <w:color w:val="auto"/>
          <w:sz w:val="32"/>
          <w:szCs w:val="32"/>
        </w:rPr>
      </w:pPr>
    </w:p>
    <w:p w14:paraId="11B2FE30">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 xml:space="preserve">第一部分  </w:t>
      </w:r>
      <w:r>
        <w:rPr>
          <w:rFonts w:hint="default" w:ascii="Times New Roman" w:hAnsi="Times New Roman" w:eastAsia="方正小标宋简体" w:cs="Times New Roman"/>
          <w:color w:val="auto"/>
          <w:sz w:val="32"/>
          <w:szCs w:val="32"/>
          <w:lang w:eastAsia="zh-CN"/>
        </w:rPr>
        <w:t>尼玛县财政局</w:t>
      </w:r>
      <w:r>
        <w:rPr>
          <w:rFonts w:hint="default" w:ascii="Times New Roman" w:hAnsi="Times New Roman" w:eastAsia="方正小标宋简体" w:cs="Times New Roman"/>
          <w:color w:val="auto"/>
          <w:sz w:val="32"/>
          <w:szCs w:val="32"/>
        </w:rPr>
        <w:t>概况</w:t>
      </w:r>
    </w:p>
    <w:p w14:paraId="15EB9F27">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一、主要职能</w:t>
      </w:r>
    </w:p>
    <w:p w14:paraId="74A369DD">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尼玛县财政局</w:t>
      </w:r>
      <w:r>
        <w:rPr>
          <w:rFonts w:hint="default" w:ascii="Times New Roman" w:hAnsi="Times New Roman" w:eastAsia="黑体" w:cs="Times New Roman"/>
          <w:color w:val="auto"/>
          <w:sz w:val="32"/>
          <w:szCs w:val="32"/>
        </w:rPr>
        <w:t>机构设置情况</w:t>
      </w:r>
    </w:p>
    <w:p w14:paraId="751D615A">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 xml:space="preserve">第二部分  </w:t>
      </w:r>
      <w:r>
        <w:rPr>
          <w:rFonts w:hint="default" w:ascii="Times New Roman" w:hAnsi="Times New Roman" w:eastAsia="方正小标宋简体" w:cs="Times New Roman"/>
          <w:color w:val="auto"/>
          <w:sz w:val="32"/>
          <w:szCs w:val="32"/>
          <w:lang w:eastAsia="zh-CN"/>
        </w:rPr>
        <w:t>尼玛县财政局</w:t>
      </w:r>
      <w:r>
        <w:rPr>
          <w:rFonts w:hint="default" w:ascii="Times New Roman" w:hAnsi="Times New Roman" w:eastAsia="方正小标宋简体" w:cs="Times New Roman"/>
          <w:color w:val="auto"/>
          <w:sz w:val="32"/>
          <w:szCs w:val="32"/>
        </w:rPr>
        <w:t>预算明细表</w:t>
      </w:r>
    </w:p>
    <w:p w14:paraId="18A583F1">
      <w:pPr>
        <w:jc w:val="left"/>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 xml:space="preserve">第三部分  </w:t>
      </w:r>
      <w:r>
        <w:rPr>
          <w:rFonts w:hint="default" w:ascii="Times New Roman" w:hAnsi="Times New Roman" w:eastAsia="方正小标宋简体" w:cs="Times New Roman"/>
          <w:color w:val="auto"/>
          <w:sz w:val="32"/>
          <w:szCs w:val="32"/>
          <w:lang w:eastAsia="zh-CN"/>
        </w:rPr>
        <w:t>尼玛县财政局</w:t>
      </w:r>
      <w:r>
        <w:rPr>
          <w:rFonts w:hint="default" w:ascii="Times New Roman" w:hAnsi="Times New Roman" w:eastAsia="方正小标宋简体" w:cs="Times New Roman"/>
          <w:color w:val="auto"/>
          <w:sz w:val="32"/>
          <w:szCs w:val="32"/>
        </w:rPr>
        <w:t>部门（单位）预算数据分析</w:t>
      </w:r>
    </w:p>
    <w:p w14:paraId="1FC07452">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尼玛县财政局</w:t>
      </w:r>
      <w:r>
        <w:rPr>
          <w:rFonts w:hint="default" w:ascii="Times New Roman" w:hAnsi="Times New Roman" w:eastAsia="黑体" w:cs="Times New Roman"/>
          <w:color w:val="auto"/>
          <w:sz w:val="32"/>
          <w:szCs w:val="32"/>
        </w:rPr>
        <w:t>收支总体情况</w:t>
      </w:r>
    </w:p>
    <w:p w14:paraId="20D9D995">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尼玛县财政局</w:t>
      </w:r>
      <w:r>
        <w:rPr>
          <w:rFonts w:hint="default" w:ascii="Times New Roman" w:hAnsi="Times New Roman" w:eastAsia="黑体" w:cs="Times New Roman"/>
          <w:color w:val="auto"/>
          <w:sz w:val="32"/>
          <w:szCs w:val="32"/>
        </w:rPr>
        <w:t>收入总体情况</w:t>
      </w:r>
    </w:p>
    <w:p w14:paraId="78D9A5B2">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w:t>
      </w:r>
      <w:r>
        <w:rPr>
          <w:rFonts w:hint="default" w:ascii="Times New Roman" w:hAnsi="Times New Roman" w:eastAsia="黑体" w:cs="Times New Roman"/>
          <w:color w:val="auto"/>
          <w:sz w:val="32"/>
          <w:szCs w:val="32"/>
          <w:lang w:eastAsia="zh-CN"/>
        </w:rPr>
        <w:t>尼玛县财政局</w:t>
      </w:r>
      <w:r>
        <w:rPr>
          <w:rFonts w:hint="default" w:ascii="Times New Roman" w:hAnsi="Times New Roman" w:eastAsia="黑体" w:cs="Times New Roman"/>
          <w:color w:val="auto"/>
          <w:sz w:val="32"/>
          <w:szCs w:val="32"/>
        </w:rPr>
        <w:t>支出总体情况</w:t>
      </w:r>
    </w:p>
    <w:p w14:paraId="2633F425">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四、财政拨款收支总体情况</w:t>
      </w:r>
    </w:p>
    <w:p w14:paraId="5CFC11CA">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五、一般公共预算支出总体情况（按功能分类科目）</w:t>
      </w:r>
    </w:p>
    <w:p w14:paraId="600E56DA">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六、一般公共预算基本支出总体情况（按经济分类款级科目）</w:t>
      </w:r>
    </w:p>
    <w:p w14:paraId="1B704DCE">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七、一般公共预算“三公”经费支出总体情况</w:t>
      </w:r>
    </w:p>
    <w:p w14:paraId="314D4FB6">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八、政府性基金预算支出总体情况</w:t>
      </w:r>
    </w:p>
    <w:p w14:paraId="559EC934">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九、政府性基金“三公”经费支出总体情况</w:t>
      </w:r>
    </w:p>
    <w:p w14:paraId="7BD8418F">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十、其他重要事项情况说明</w:t>
      </w:r>
    </w:p>
    <w:p w14:paraId="56238185">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第四部分  名词解释</w:t>
      </w:r>
    </w:p>
    <w:p w14:paraId="5966B24D">
      <w:pPr>
        <w:rPr>
          <w:rFonts w:hint="default" w:ascii="Times New Roman" w:hAnsi="Times New Roman" w:eastAsia="仿宋" w:cs="Times New Roman"/>
          <w:color w:val="auto"/>
          <w:sz w:val="32"/>
          <w:szCs w:val="32"/>
        </w:rPr>
      </w:pPr>
    </w:p>
    <w:p w14:paraId="0FD54D3F">
      <w:pPr>
        <w:rPr>
          <w:rFonts w:hint="default" w:ascii="Times New Roman" w:hAnsi="Times New Roman" w:eastAsia="仿宋" w:cs="Times New Roman"/>
          <w:color w:val="auto"/>
          <w:sz w:val="32"/>
          <w:szCs w:val="32"/>
        </w:rPr>
      </w:pPr>
    </w:p>
    <w:p w14:paraId="38982C2A">
      <w:pPr>
        <w:rPr>
          <w:rFonts w:hint="default" w:ascii="Times New Roman" w:hAnsi="Times New Roman" w:eastAsia="仿宋" w:cs="Times New Roman"/>
          <w:color w:val="auto"/>
          <w:sz w:val="32"/>
          <w:szCs w:val="32"/>
        </w:rPr>
      </w:pPr>
    </w:p>
    <w:p w14:paraId="1DC58C4A">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第一部分</w:t>
      </w:r>
    </w:p>
    <w:p w14:paraId="13FE1ADB">
      <w:pPr>
        <w:jc w:val="center"/>
        <w:rPr>
          <w:rFonts w:hint="default" w:ascii="Times New Roman" w:hAnsi="Times New Roman" w:eastAsia="方正小标宋简体" w:cs="Times New Roman"/>
          <w:color w:val="auto"/>
          <w:sz w:val="32"/>
          <w:szCs w:val="32"/>
        </w:rPr>
      </w:pPr>
    </w:p>
    <w:p w14:paraId="343D0152">
      <w:pPr>
        <w:jc w:val="center"/>
        <w:rPr>
          <w:rFonts w:hint="default" w:ascii="Times New Roman" w:hAnsi="Times New Roman" w:eastAsia="仿宋" w:cs="Times New Roman"/>
          <w:color w:val="auto"/>
          <w:sz w:val="32"/>
          <w:szCs w:val="32"/>
        </w:rPr>
      </w:pPr>
      <w:r>
        <w:rPr>
          <w:rFonts w:hint="default" w:ascii="Times New Roman" w:hAnsi="Times New Roman" w:eastAsia="方正小标宋简体" w:cs="Times New Roman"/>
          <w:color w:val="auto"/>
          <w:sz w:val="32"/>
          <w:szCs w:val="32"/>
          <w:lang w:eastAsia="zh-CN"/>
        </w:rPr>
        <w:t>尼玛县财政局</w:t>
      </w:r>
      <w:r>
        <w:rPr>
          <w:rFonts w:hint="default" w:ascii="Times New Roman" w:hAnsi="Times New Roman" w:eastAsia="方正小标宋简体" w:cs="Times New Roman"/>
          <w:color w:val="auto"/>
          <w:sz w:val="32"/>
          <w:szCs w:val="32"/>
        </w:rPr>
        <w:t>概况</w:t>
      </w:r>
    </w:p>
    <w:p w14:paraId="11BA2F43">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一、主要职能</w:t>
      </w:r>
    </w:p>
    <w:p w14:paraId="58C010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1.结合</w:t>
      </w:r>
      <w:r>
        <w:rPr>
          <w:rFonts w:hint="default" w:ascii="Times New Roman" w:hAnsi="Times New Roman" w:eastAsia="方正仿宋简体" w:cs="Times New Roman"/>
          <w:color w:val="auto"/>
          <w:sz w:val="32"/>
          <w:szCs w:val="32"/>
          <w:lang w:eastAsia="zh-CN"/>
        </w:rPr>
        <w:t>尼玛县</w:t>
      </w:r>
      <w:r>
        <w:rPr>
          <w:rFonts w:hint="default" w:ascii="Times New Roman" w:hAnsi="Times New Roman" w:eastAsia="方正仿宋简体" w:cs="Times New Roman"/>
          <w:color w:val="auto"/>
          <w:sz w:val="32"/>
          <w:szCs w:val="32"/>
        </w:rPr>
        <w:t>实际拟定全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财政预算、地方税收、财务、会计、国有资产管理等地方性管理规定，分析预测宏观经济形势，参与制定全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宏观经济政策，提出运用财税政策宏观调控和综合平衡社会财力的建议，指导全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财务工作。进行财政政策、理论和财税体制研究，为</w:t>
      </w:r>
      <w:r>
        <w:rPr>
          <w:rFonts w:hint="default" w:ascii="Times New Roman" w:hAnsi="Times New Roman" w:eastAsia="方正仿宋简体" w:cs="Times New Roman"/>
          <w:color w:val="auto"/>
          <w:sz w:val="32"/>
          <w:szCs w:val="32"/>
          <w:lang w:eastAsia="zh-CN"/>
        </w:rPr>
        <w:t>政府</w:t>
      </w:r>
      <w:r>
        <w:rPr>
          <w:rFonts w:hint="default" w:ascii="Times New Roman" w:hAnsi="Times New Roman" w:eastAsia="方正仿宋简体" w:cs="Times New Roman"/>
          <w:color w:val="auto"/>
          <w:sz w:val="32"/>
          <w:szCs w:val="32"/>
        </w:rPr>
        <w:t>决策提供政策性建议</w:t>
      </w:r>
      <w:r>
        <w:rPr>
          <w:rFonts w:hint="default" w:ascii="Times New Roman" w:hAnsi="Times New Roman" w:eastAsia="方正仿宋简体" w:cs="Times New Roman"/>
          <w:color w:val="auto"/>
          <w:sz w:val="32"/>
          <w:szCs w:val="32"/>
          <w:lang w:eastAsia="zh-CN"/>
        </w:rPr>
        <w:t>。</w:t>
      </w:r>
    </w:p>
    <w:p w14:paraId="382C77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2.承担全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各项财政收支管理工作，并指导全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各级财政做好相关工作，负责编制全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年度预决算草案并组织执行，受</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政府委托，向</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人民代表大会报告全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预算及执行情况，向</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人大常委会报告决算。组织制定</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级部门（单位）经费开支标准、定额，负责审核审批</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级部门（单位）的年度决算。负责完善</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财政管理体制和转移支付制度，促进基层政府公共服务均等化。</w:t>
      </w:r>
    </w:p>
    <w:p w14:paraId="159A2E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3.负责政府“非税收入”的管理，负责政府性基金管理，按规定管理行政事业性收费，管理财政票据。</w:t>
      </w:r>
    </w:p>
    <w:p w14:paraId="24A2EC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4.组织制定国库管理制定、国库集中收付制度，指导和监督</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国库业务，按规定开展国库现金管理工作，负责制定</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政府采购制度并</w:t>
      </w:r>
      <w:r>
        <w:rPr>
          <w:rFonts w:hint="default" w:ascii="Times New Roman" w:hAnsi="Times New Roman" w:eastAsia="方正仿宋简体" w:cs="Times New Roman"/>
          <w:color w:val="auto"/>
          <w:sz w:val="32"/>
          <w:szCs w:val="32"/>
          <w:lang w:eastAsia="zh-CN"/>
        </w:rPr>
        <w:t>负责</w:t>
      </w:r>
      <w:r>
        <w:rPr>
          <w:rFonts w:hint="default" w:ascii="Times New Roman" w:hAnsi="Times New Roman" w:eastAsia="方正仿宋简体" w:cs="Times New Roman"/>
          <w:color w:val="auto"/>
          <w:sz w:val="32"/>
          <w:szCs w:val="32"/>
        </w:rPr>
        <w:t>监督管理。根据全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信息化建设战略，拟定财政信息化建设中长期规划，规范管理全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财政信息化建设。</w:t>
      </w:r>
    </w:p>
    <w:p w14:paraId="0FE7F6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5.负责制定行政事业单位国有资产管理规章制度，按规定管理行政事业单位国有资产，负责</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本级行政机构、事业单位和社会团体财政预算内的收支管理。</w:t>
      </w:r>
    </w:p>
    <w:p w14:paraId="415CDD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6.负责审核和汇总编制</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国有资本经营预决算草案，制定国有资本经营预算制度和办法并监督执行；指导各</w:t>
      </w:r>
      <w:r>
        <w:rPr>
          <w:rFonts w:hint="default" w:ascii="Times New Roman" w:hAnsi="Times New Roman" w:eastAsia="方正仿宋简体" w:cs="Times New Roman"/>
          <w:color w:val="auto"/>
          <w:sz w:val="32"/>
          <w:szCs w:val="32"/>
          <w:lang w:eastAsia="zh-CN"/>
        </w:rPr>
        <w:t>乡（镇）</w:t>
      </w:r>
      <w:r>
        <w:rPr>
          <w:rFonts w:hint="default" w:ascii="Times New Roman" w:hAnsi="Times New Roman" w:eastAsia="方正仿宋简体" w:cs="Times New Roman"/>
          <w:color w:val="auto"/>
          <w:sz w:val="32"/>
          <w:szCs w:val="32"/>
        </w:rPr>
        <w:t>国有资本经营预算工作，制定并组织实施企业财务制度，按规定管理企业国有资产，参与拟定企业国有资产管理相关制度，按规定管理资产评估工作。</w:t>
      </w:r>
    </w:p>
    <w:p w14:paraId="30F414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7.负责办理</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财政的经济发展支出、政府性投资项目的财政拨款；参与拟定</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建设投资有关政策；制定基本建设财务制度，负责有关政策性补贴和专项储备资金财政管理工作</w:t>
      </w:r>
      <w:r>
        <w:rPr>
          <w:rFonts w:hint="default" w:ascii="Times New Roman" w:hAnsi="Times New Roman" w:eastAsia="方正仿宋简体" w:cs="Times New Roman"/>
          <w:color w:val="auto"/>
          <w:sz w:val="32"/>
          <w:szCs w:val="32"/>
          <w:lang w:eastAsia="zh-CN"/>
        </w:rPr>
        <w:t>。</w:t>
      </w:r>
    </w:p>
    <w:p w14:paraId="36B587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8.会同有关部门拟定社会保障资金（基金）财务管理制度，管理全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相关财政社会保障资金、就业及医疗卫生专项资金支出，编制、审核全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社会保障预决算草案，承担社会保险基金、社会保障支出资金的财政监管工作。</w:t>
      </w:r>
    </w:p>
    <w:p w14:paraId="4C103D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9.负责管理全</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会计工作，监督和规范会计行为，组织实施国家统一的会计准则制度，指导和管理社会审计，办理相关行政许可事项的审批和注册备案工作。</w:t>
      </w:r>
    </w:p>
    <w:p w14:paraId="5D7A99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10.拟定</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财政监督检查制度；监督检查财税法规、政策的执行情况，反映财政收支管理中的重大问题。</w:t>
      </w:r>
    </w:p>
    <w:p w14:paraId="5ECD8C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11.承办</w:t>
      </w:r>
      <w:r>
        <w:rPr>
          <w:rFonts w:hint="default" w:ascii="Times New Roman" w:hAnsi="Times New Roman" w:eastAsia="方正仿宋简体" w:cs="Times New Roman"/>
          <w:color w:val="auto"/>
          <w:sz w:val="32"/>
          <w:szCs w:val="32"/>
          <w:lang w:eastAsia="zh-CN"/>
        </w:rPr>
        <w:t>县</w:t>
      </w:r>
      <w:r>
        <w:rPr>
          <w:rFonts w:hint="default" w:ascii="Times New Roman" w:hAnsi="Times New Roman" w:eastAsia="方正仿宋简体" w:cs="Times New Roman"/>
          <w:color w:val="auto"/>
          <w:sz w:val="32"/>
          <w:szCs w:val="32"/>
        </w:rPr>
        <w:t>政府交办的其他事项</w:t>
      </w:r>
      <w:r>
        <w:rPr>
          <w:rFonts w:hint="default" w:ascii="Times New Roman" w:hAnsi="Times New Roman" w:eastAsia="方正仿宋简体" w:cs="Times New Roman"/>
          <w:color w:val="auto"/>
          <w:sz w:val="32"/>
          <w:szCs w:val="32"/>
          <w:lang w:eastAsia="zh-CN"/>
        </w:rPr>
        <w:t>。</w:t>
      </w:r>
    </w:p>
    <w:p w14:paraId="594CBE13">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二、机构设置情况</w:t>
      </w:r>
    </w:p>
    <w:p w14:paraId="6BDD6A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我局隶属行政机构，人员编制</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人，行政人员编制</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人。</w:t>
      </w:r>
      <w:r>
        <w:rPr>
          <w:rFonts w:hint="default" w:ascii="Times New Roman" w:hAnsi="Times New Roman" w:eastAsia="方正仿宋简体" w:cs="Times New Roman"/>
          <w:color w:val="auto"/>
          <w:sz w:val="32"/>
          <w:szCs w:val="32"/>
          <w:lang w:eastAsia="zh-CN"/>
        </w:rPr>
        <w:t>2025</w:t>
      </w:r>
      <w:r>
        <w:rPr>
          <w:rFonts w:hint="default" w:ascii="Times New Roman" w:hAnsi="Times New Roman" w:eastAsia="方正仿宋简体" w:cs="Times New Roman"/>
          <w:color w:val="auto"/>
          <w:sz w:val="32"/>
          <w:szCs w:val="32"/>
        </w:rPr>
        <w:t>年，我局在职职工</w:t>
      </w:r>
      <w:r>
        <w:rPr>
          <w:rFonts w:hint="default"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人，其中：</w:t>
      </w:r>
      <w:r>
        <w:rPr>
          <w:rFonts w:hint="default" w:ascii="Times New Roman" w:hAnsi="Times New Roman" w:eastAsia="方正仿宋简体" w:cs="Times New Roman"/>
          <w:color w:val="auto"/>
          <w:sz w:val="32"/>
          <w:szCs w:val="32"/>
          <w:lang w:eastAsia="zh-CN"/>
        </w:rPr>
        <w:t>正科级</w:t>
      </w:r>
      <w:r>
        <w:rPr>
          <w:rFonts w:hint="default" w:ascii="Times New Roman" w:hAnsi="Times New Roman" w:eastAsia="方正仿宋简体" w:cs="Times New Roman"/>
          <w:color w:val="auto"/>
          <w:sz w:val="32"/>
          <w:szCs w:val="32"/>
          <w:lang w:val="en-US" w:eastAsia="zh-CN"/>
        </w:rPr>
        <w:t>1人，</w:t>
      </w:r>
      <w:r>
        <w:rPr>
          <w:rFonts w:hint="default" w:ascii="Times New Roman" w:hAnsi="Times New Roman" w:eastAsia="方正仿宋简体" w:cs="Times New Roman"/>
          <w:color w:val="auto"/>
          <w:sz w:val="32"/>
          <w:szCs w:val="32"/>
        </w:rPr>
        <w:t>副</w:t>
      </w:r>
      <w:r>
        <w:rPr>
          <w:rFonts w:hint="default" w:ascii="Times New Roman" w:hAnsi="Times New Roman" w:eastAsia="方正仿宋简体" w:cs="Times New Roman"/>
          <w:color w:val="auto"/>
          <w:sz w:val="32"/>
          <w:szCs w:val="32"/>
          <w:lang w:eastAsia="zh-CN"/>
        </w:rPr>
        <w:t>科</w:t>
      </w:r>
      <w:r>
        <w:rPr>
          <w:rFonts w:hint="default" w:ascii="Times New Roman" w:hAnsi="Times New Roman" w:eastAsia="方正仿宋简体" w:cs="Times New Roman"/>
          <w:color w:val="auto"/>
          <w:sz w:val="32"/>
          <w:szCs w:val="32"/>
        </w:rPr>
        <w:t>级</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人，科</w:t>
      </w:r>
      <w:r>
        <w:rPr>
          <w:rFonts w:hint="default" w:ascii="Times New Roman" w:hAnsi="Times New Roman" w:eastAsia="方正仿宋简体" w:cs="Times New Roman"/>
          <w:color w:val="auto"/>
          <w:sz w:val="32"/>
          <w:szCs w:val="32"/>
          <w:lang w:eastAsia="zh-CN"/>
        </w:rPr>
        <w:t>员及</w:t>
      </w:r>
      <w:r>
        <w:rPr>
          <w:rFonts w:hint="default" w:ascii="Times New Roman" w:hAnsi="Times New Roman" w:eastAsia="方正仿宋简体" w:cs="Times New Roman"/>
          <w:color w:val="auto"/>
          <w:sz w:val="32"/>
          <w:szCs w:val="32"/>
        </w:rPr>
        <w:t>以下干部</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人。我局共设置</w:t>
      </w:r>
      <w:r>
        <w:rPr>
          <w:rFonts w:hint="default" w:ascii="Times New Roman" w:hAnsi="Times New Roman" w:eastAsia="方正仿宋简体" w:cs="Times New Roman"/>
          <w:color w:val="auto"/>
          <w:sz w:val="32"/>
          <w:szCs w:val="32"/>
          <w:lang w:eastAsia="zh-CN"/>
        </w:rPr>
        <w:t>县机关核算中心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国库办公室</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专户办公室</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局长办公室</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公车办</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综治办</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国资委办公室</w:t>
      </w:r>
      <w:r>
        <w:rPr>
          <w:rFonts w:hint="default" w:ascii="Times New Roman" w:hAnsi="Times New Roman" w:eastAsia="方正仿宋简体" w:cs="Times New Roman"/>
          <w:color w:val="auto"/>
          <w:sz w:val="32"/>
          <w:szCs w:val="32"/>
        </w:rPr>
        <w:t>等内设机构。我局财政认可车辆为</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辆，其中越野车</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辆，单位实有车辆</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辆（其中：越野车</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辆）。</w:t>
      </w:r>
    </w:p>
    <w:p w14:paraId="33ECC46E">
      <w:pPr>
        <w:rPr>
          <w:rFonts w:hint="default" w:ascii="Times New Roman" w:hAnsi="Times New Roman" w:eastAsia="仿宋" w:cs="Times New Roman"/>
          <w:color w:val="auto"/>
          <w:sz w:val="32"/>
          <w:szCs w:val="32"/>
        </w:rPr>
      </w:pPr>
    </w:p>
    <w:p w14:paraId="49EB86FB">
      <w:pPr>
        <w:rPr>
          <w:rFonts w:hint="default" w:ascii="Times New Roman" w:hAnsi="Times New Roman" w:eastAsia="仿宋" w:cs="Times New Roman"/>
          <w:color w:val="auto"/>
          <w:sz w:val="32"/>
          <w:szCs w:val="32"/>
        </w:rPr>
      </w:pPr>
    </w:p>
    <w:p w14:paraId="233724A9">
      <w:pPr>
        <w:rPr>
          <w:rFonts w:hint="default" w:ascii="Times New Roman" w:hAnsi="Times New Roman" w:eastAsia="仿宋" w:cs="Times New Roman"/>
          <w:color w:val="auto"/>
          <w:sz w:val="32"/>
          <w:szCs w:val="32"/>
        </w:rPr>
      </w:pPr>
    </w:p>
    <w:p w14:paraId="4727D42D">
      <w:pPr>
        <w:rPr>
          <w:rFonts w:hint="default" w:ascii="Times New Roman" w:hAnsi="Times New Roman" w:eastAsia="仿宋" w:cs="Times New Roman"/>
          <w:color w:val="auto"/>
          <w:sz w:val="32"/>
          <w:szCs w:val="32"/>
        </w:rPr>
      </w:pPr>
    </w:p>
    <w:p w14:paraId="533E69D4">
      <w:pPr>
        <w:rPr>
          <w:rFonts w:hint="default" w:ascii="Times New Roman" w:hAnsi="Times New Roman" w:eastAsia="仿宋" w:cs="Times New Roman"/>
          <w:color w:val="auto"/>
          <w:sz w:val="32"/>
          <w:szCs w:val="32"/>
        </w:rPr>
      </w:pPr>
    </w:p>
    <w:p w14:paraId="0F5302F2">
      <w:pPr>
        <w:rPr>
          <w:rFonts w:hint="default" w:ascii="Times New Roman" w:hAnsi="Times New Roman" w:eastAsia="仿宋" w:cs="Times New Roman"/>
          <w:color w:val="auto"/>
          <w:sz w:val="32"/>
          <w:szCs w:val="32"/>
        </w:rPr>
      </w:pPr>
    </w:p>
    <w:p w14:paraId="129549D0">
      <w:pPr>
        <w:rPr>
          <w:rFonts w:hint="default" w:ascii="Times New Roman" w:hAnsi="Times New Roman" w:eastAsia="仿宋" w:cs="Times New Roman"/>
          <w:color w:val="auto"/>
          <w:sz w:val="32"/>
          <w:szCs w:val="32"/>
        </w:rPr>
      </w:pPr>
    </w:p>
    <w:p w14:paraId="11CBA2E9">
      <w:pPr>
        <w:jc w:val="center"/>
        <w:rPr>
          <w:rFonts w:hint="default" w:ascii="Times New Roman" w:hAnsi="Times New Roman" w:eastAsia="方正小标宋简体" w:cs="Times New Roman"/>
          <w:color w:val="auto"/>
          <w:sz w:val="32"/>
          <w:szCs w:val="32"/>
        </w:rPr>
      </w:pPr>
    </w:p>
    <w:p w14:paraId="2A310960">
      <w:pPr>
        <w:jc w:val="center"/>
        <w:rPr>
          <w:rFonts w:hint="default" w:ascii="Times New Roman" w:hAnsi="Times New Roman" w:eastAsia="方正小标宋简体" w:cs="Times New Roman"/>
          <w:color w:val="auto"/>
          <w:sz w:val="32"/>
          <w:szCs w:val="32"/>
        </w:rPr>
      </w:pPr>
    </w:p>
    <w:p w14:paraId="550F393E">
      <w:pPr>
        <w:jc w:val="center"/>
        <w:rPr>
          <w:rFonts w:hint="default" w:ascii="Times New Roman" w:hAnsi="Times New Roman" w:eastAsia="方正小标宋简体" w:cs="Times New Roman"/>
          <w:color w:val="auto"/>
          <w:sz w:val="32"/>
          <w:szCs w:val="32"/>
        </w:rPr>
      </w:pPr>
    </w:p>
    <w:p w14:paraId="50281861">
      <w:pPr>
        <w:jc w:val="center"/>
        <w:rPr>
          <w:rFonts w:hint="default" w:ascii="Times New Roman" w:hAnsi="Times New Roman" w:eastAsia="方正小标宋简体" w:cs="Times New Roman"/>
          <w:color w:val="auto"/>
          <w:sz w:val="32"/>
          <w:szCs w:val="32"/>
        </w:rPr>
      </w:pPr>
    </w:p>
    <w:p w14:paraId="208A9D14">
      <w:pPr>
        <w:jc w:val="center"/>
        <w:rPr>
          <w:rFonts w:hint="default" w:ascii="Times New Roman" w:hAnsi="Times New Roman" w:eastAsia="方正小标宋简体" w:cs="Times New Roman"/>
          <w:color w:val="auto"/>
          <w:sz w:val="32"/>
          <w:szCs w:val="32"/>
        </w:rPr>
      </w:pPr>
    </w:p>
    <w:p w14:paraId="5130B4A6">
      <w:pPr>
        <w:jc w:val="center"/>
        <w:rPr>
          <w:rFonts w:hint="default" w:ascii="Times New Roman" w:hAnsi="Times New Roman" w:eastAsia="方正小标宋简体" w:cs="Times New Roman"/>
          <w:color w:val="auto"/>
          <w:sz w:val="32"/>
          <w:szCs w:val="32"/>
        </w:rPr>
      </w:pPr>
    </w:p>
    <w:p w14:paraId="6B2B96FD">
      <w:pPr>
        <w:jc w:val="center"/>
        <w:rPr>
          <w:rFonts w:hint="default" w:ascii="Times New Roman" w:hAnsi="Times New Roman" w:eastAsia="方正小标宋简体" w:cs="Times New Roman"/>
          <w:color w:val="auto"/>
          <w:sz w:val="32"/>
          <w:szCs w:val="32"/>
        </w:rPr>
      </w:pPr>
    </w:p>
    <w:p w14:paraId="4F2C7F65">
      <w:pPr>
        <w:jc w:val="center"/>
        <w:rPr>
          <w:rFonts w:hint="default" w:ascii="Times New Roman" w:hAnsi="Times New Roman" w:eastAsia="方正小标宋简体" w:cs="Times New Roman"/>
          <w:color w:val="auto"/>
          <w:sz w:val="32"/>
          <w:szCs w:val="32"/>
        </w:rPr>
      </w:pPr>
    </w:p>
    <w:p w14:paraId="0198C349">
      <w:pPr>
        <w:jc w:val="center"/>
        <w:rPr>
          <w:rFonts w:hint="default" w:ascii="Times New Roman" w:hAnsi="Times New Roman" w:eastAsia="方正小标宋简体" w:cs="Times New Roman"/>
          <w:color w:val="auto"/>
          <w:sz w:val="32"/>
          <w:szCs w:val="32"/>
        </w:rPr>
      </w:pPr>
    </w:p>
    <w:p w14:paraId="2C9A14EF">
      <w:pPr>
        <w:jc w:val="center"/>
        <w:rPr>
          <w:rFonts w:hint="default" w:ascii="Times New Roman" w:hAnsi="Times New Roman" w:eastAsia="方正小标宋简体" w:cs="Times New Roman"/>
          <w:color w:val="auto"/>
          <w:sz w:val="32"/>
          <w:szCs w:val="32"/>
        </w:rPr>
      </w:pPr>
    </w:p>
    <w:p w14:paraId="4197F05E">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第二部分</w:t>
      </w:r>
    </w:p>
    <w:p w14:paraId="06CE126B">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尼玛县财政局2025</w:t>
      </w:r>
      <w:r>
        <w:rPr>
          <w:rFonts w:hint="default" w:ascii="Times New Roman" w:hAnsi="Times New Roman" w:eastAsia="方正小标宋简体" w:cs="Times New Roman"/>
          <w:color w:val="auto"/>
          <w:sz w:val="32"/>
          <w:szCs w:val="32"/>
        </w:rPr>
        <w:t>年度预算明细表</w:t>
      </w:r>
    </w:p>
    <w:p w14:paraId="62F9F785">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（表格详见附件）</w:t>
      </w:r>
    </w:p>
    <w:p w14:paraId="47EEE74B">
      <w:pPr>
        <w:rPr>
          <w:rFonts w:hint="default" w:ascii="Times New Roman" w:hAnsi="Times New Roman" w:eastAsia="仿宋" w:cs="Times New Roman"/>
          <w:color w:val="auto"/>
          <w:sz w:val="32"/>
          <w:szCs w:val="32"/>
        </w:rPr>
      </w:pPr>
    </w:p>
    <w:p w14:paraId="7C0CBE03">
      <w:pPr>
        <w:rPr>
          <w:rFonts w:hint="default" w:ascii="Times New Roman" w:hAnsi="Times New Roman" w:eastAsia="仿宋" w:cs="Times New Roman"/>
          <w:color w:val="auto"/>
          <w:sz w:val="32"/>
          <w:szCs w:val="32"/>
        </w:rPr>
      </w:pPr>
    </w:p>
    <w:p w14:paraId="6C500C55">
      <w:pPr>
        <w:rPr>
          <w:rFonts w:hint="default" w:ascii="Times New Roman" w:hAnsi="Times New Roman" w:eastAsia="仿宋" w:cs="Times New Roman"/>
          <w:color w:val="auto"/>
          <w:sz w:val="32"/>
          <w:szCs w:val="32"/>
        </w:rPr>
      </w:pPr>
    </w:p>
    <w:p w14:paraId="7BF0DD10">
      <w:pPr>
        <w:rPr>
          <w:rFonts w:hint="default" w:ascii="Times New Roman" w:hAnsi="Times New Roman" w:eastAsia="仿宋" w:cs="Times New Roman"/>
          <w:color w:val="auto"/>
          <w:sz w:val="32"/>
          <w:szCs w:val="32"/>
        </w:rPr>
      </w:pPr>
    </w:p>
    <w:p w14:paraId="73B3D538">
      <w:pPr>
        <w:rPr>
          <w:rFonts w:hint="default" w:ascii="Times New Roman" w:hAnsi="Times New Roman" w:eastAsia="仿宋" w:cs="Times New Roman"/>
          <w:color w:val="auto"/>
          <w:sz w:val="32"/>
          <w:szCs w:val="32"/>
        </w:rPr>
      </w:pPr>
    </w:p>
    <w:p w14:paraId="1CC3A916">
      <w:pPr>
        <w:rPr>
          <w:rFonts w:hint="default" w:ascii="Times New Roman" w:hAnsi="Times New Roman" w:eastAsia="仿宋" w:cs="Times New Roman"/>
          <w:color w:val="auto"/>
          <w:sz w:val="32"/>
          <w:szCs w:val="32"/>
        </w:rPr>
      </w:pPr>
    </w:p>
    <w:p w14:paraId="1A72C6A4">
      <w:pPr>
        <w:rPr>
          <w:rFonts w:hint="default" w:ascii="Times New Roman" w:hAnsi="Times New Roman" w:eastAsia="仿宋" w:cs="Times New Roman"/>
          <w:color w:val="auto"/>
          <w:sz w:val="32"/>
          <w:szCs w:val="32"/>
        </w:rPr>
      </w:pPr>
    </w:p>
    <w:p w14:paraId="6EF9C886">
      <w:pPr>
        <w:rPr>
          <w:rFonts w:hint="default" w:ascii="Times New Roman" w:hAnsi="Times New Roman" w:eastAsia="仿宋" w:cs="Times New Roman"/>
          <w:color w:val="auto"/>
          <w:sz w:val="32"/>
          <w:szCs w:val="32"/>
        </w:rPr>
      </w:pPr>
    </w:p>
    <w:p w14:paraId="62BE0314">
      <w:pPr>
        <w:rPr>
          <w:rFonts w:hint="default" w:ascii="Times New Roman" w:hAnsi="Times New Roman" w:eastAsia="仿宋" w:cs="Times New Roman"/>
          <w:color w:val="auto"/>
          <w:sz w:val="32"/>
          <w:szCs w:val="32"/>
        </w:rPr>
      </w:pPr>
    </w:p>
    <w:p w14:paraId="713BE01A">
      <w:pPr>
        <w:rPr>
          <w:rFonts w:hint="default" w:ascii="Times New Roman" w:hAnsi="Times New Roman" w:eastAsia="仿宋" w:cs="Times New Roman"/>
          <w:color w:val="auto"/>
          <w:sz w:val="32"/>
          <w:szCs w:val="32"/>
        </w:rPr>
      </w:pPr>
    </w:p>
    <w:p w14:paraId="1FE37D27">
      <w:pPr>
        <w:rPr>
          <w:rFonts w:hint="default" w:ascii="Times New Roman" w:hAnsi="Times New Roman" w:eastAsia="仿宋" w:cs="Times New Roman"/>
          <w:color w:val="auto"/>
          <w:sz w:val="32"/>
          <w:szCs w:val="32"/>
        </w:rPr>
      </w:pPr>
    </w:p>
    <w:p w14:paraId="3CFAEF30">
      <w:pPr>
        <w:rPr>
          <w:rFonts w:hint="default" w:ascii="Times New Roman" w:hAnsi="Times New Roman" w:eastAsia="仿宋" w:cs="Times New Roman"/>
          <w:color w:val="auto"/>
          <w:sz w:val="32"/>
          <w:szCs w:val="32"/>
        </w:rPr>
      </w:pPr>
    </w:p>
    <w:p w14:paraId="0E75CF27">
      <w:pPr>
        <w:rPr>
          <w:rFonts w:hint="default" w:ascii="Times New Roman" w:hAnsi="Times New Roman" w:eastAsia="仿宋" w:cs="Times New Roman"/>
          <w:color w:val="auto"/>
          <w:sz w:val="32"/>
          <w:szCs w:val="32"/>
        </w:rPr>
      </w:pPr>
    </w:p>
    <w:p w14:paraId="60A1EE71">
      <w:pPr>
        <w:jc w:val="center"/>
        <w:rPr>
          <w:rFonts w:hint="default" w:ascii="Times New Roman" w:hAnsi="Times New Roman" w:eastAsia="黑体" w:cs="Times New Roman"/>
          <w:color w:val="auto"/>
          <w:sz w:val="32"/>
          <w:szCs w:val="32"/>
        </w:rPr>
      </w:pPr>
    </w:p>
    <w:p w14:paraId="7F33C496">
      <w:pPr>
        <w:jc w:val="center"/>
        <w:rPr>
          <w:rFonts w:hint="default" w:ascii="Times New Roman" w:hAnsi="Times New Roman" w:eastAsia="黑体" w:cs="Times New Roman"/>
          <w:color w:val="auto"/>
          <w:sz w:val="32"/>
          <w:szCs w:val="32"/>
        </w:rPr>
      </w:pPr>
    </w:p>
    <w:p w14:paraId="28AE90DD">
      <w:pPr>
        <w:jc w:val="center"/>
        <w:rPr>
          <w:rFonts w:hint="default" w:ascii="Times New Roman" w:hAnsi="Times New Roman" w:eastAsia="黑体" w:cs="Times New Roman"/>
          <w:color w:val="auto"/>
          <w:sz w:val="32"/>
          <w:szCs w:val="32"/>
        </w:rPr>
      </w:pPr>
    </w:p>
    <w:p w14:paraId="73CBB223">
      <w:pPr>
        <w:jc w:val="center"/>
        <w:rPr>
          <w:rFonts w:hint="default" w:ascii="Times New Roman" w:hAnsi="Times New Roman" w:eastAsia="方正小标宋简体" w:cs="Times New Roman"/>
          <w:color w:val="auto"/>
          <w:sz w:val="32"/>
          <w:szCs w:val="32"/>
        </w:rPr>
      </w:pPr>
    </w:p>
    <w:p w14:paraId="2E6FEC57">
      <w:pPr>
        <w:jc w:val="center"/>
        <w:rPr>
          <w:rFonts w:hint="default" w:ascii="Times New Roman" w:hAnsi="Times New Roman" w:eastAsia="方正小标宋简体" w:cs="Times New Roman"/>
          <w:color w:val="auto"/>
          <w:sz w:val="32"/>
          <w:szCs w:val="32"/>
        </w:rPr>
      </w:pPr>
    </w:p>
    <w:p w14:paraId="48B55585">
      <w:pPr>
        <w:jc w:val="center"/>
        <w:rPr>
          <w:rFonts w:hint="default" w:ascii="Times New Roman" w:hAnsi="Times New Roman" w:eastAsia="方正小标宋简体" w:cs="Times New Roman"/>
          <w:color w:val="auto"/>
          <w:sz w:val="32"/>
          <w:szCs w:val="32"/>
        </w:rPr>
      </w:pPr>
    </w:p>
    <w:p w14:paraId="74A6045E">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第三部分</w:t>
      </w:r>
    </w:p>
    <w:p w14:paraId="211A2973">
      <w:pPr>
        <w:jc w:val="center"/>
        <w:rPr>
          <w:rFonts w:hint="default" w:ascii="Times New Roman" w:hAnsi="Times New Roman" w:eastAsia="方正小标宋简体" w:cs="Times New Roman"/>
          <w:color w:val="auto"/>
          <w:sz w:val="32"/>
          <w:szCs w:val="32"/>
        </w:rPr>
      </w:pPr>
    </w:p>
    <w:p w14:paraId="628EA873">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尼玛县财政局2025</w:t>
      </w:r>
      <w:r>
        <w:rPr>
          <w:rFonts w:hint="default" w:ascii="Times New Roman" w:hAnsi="Times New Roman" w:eastAsia="方正小标宋简体" w:cs="Times New Roman"/>
          <w:color w:val="auto"/>
          <w:sz w:val="32"/>
          <w:szCs w:val="32"/>
        </w:rPr>
        <w:t>年度部门（单位）预算数据分析</w:t>
      </w:r>
    </w:p>
    <w:p w14:paraId="1185F0B5">
      <w:pPr>
        <w:jc w:val="center"/>
        <w:rPr>
          <w:rFonts w:hint="default" w:ascii="Times New Roman" w:hAnsi="Times New Roman" w:eastAsia="黑体" w:cs="Times New Roman"/>
          <w:color w:val="auto"/>
          <w:sz w:val="32"/>
          <w:szCs w:val="32"/>
        </w:rPr>
      </w:pPr>
    </w:p>
    <w:p w14:paraId="5A262368">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一、部门（单位）收支总体情况</w:t>
      </w:r>
    </w:p>
    <w:p w14:paraId="07C421E6">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收支总预算</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1924.64</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收入包括：一般公共预算拨款收入、政府性基金拨款收入、国资预算拨款收入、专户资金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38A2C3B8">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二、部门（单位）收入总体情况</w:t>
      </w:r>
    </w:p>
    <w:p w14:paraId="27236648">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收入预算总量</w:t>
      </w:r>
      <w:r>
        <w:rPr>
          <w:rFonts w:hint="eastAsia" w:eastAsia="仿宋" w:cs="Times New Roman"/>
          <w:color w:val="auto"/>
          <w:sz w:val="32"/>
          <w:szCs w:val="32"/>
          <w:u w:val="single"/>
          <w:lang w:val="en-US" w:eastAsia="zh-CN"/>
        </w:rPr>
        <w:t>1924.64</w:t>
      </w:r>
      <w:r>
        <w:rPr>
          <w:rFonts w:hint="default" w:ascii="Times New Roman" w:hAnsi="Times New Roman" w:eastAsia="仿宋" w:cs="Times New Roman"/>
          <w:color w:val="auto"/>
          <w:sz w:val="32"/>
          <w:szCs w:val="32"/>
        </w:rPr>
        <w:t>万元，同比</w:t>
      </w:r>
      <w:r>
        <w:rPr>
          <w:rFonts w:hint="eastAsia" w:eastAsia="仿宋" w:cs="Times New Roman"/>
          <w:color w:val="auto"/>
          <w:sz w:val="32"/>
          <w:szCs w:val="32"/>
          <w:lang w:eastAsia="zh-CN"/>
        </w:rPr>
        <w:t>减少</w:t>
      </w:r>
      <w:r>
        <w:rPr>
          <w:rFonts w:hint="eastAsia" w:eastAsia="仿宋" w:cs="Times New Roman"/>
          <w:color w:val="auto"/>
          <w:sz w:val="32"/>
          <w:szCs w:val="32"/>
          <w:u w:val="single"/>
          <w:lang w:val="en-US" w:eastAsia="zh-CN"/>
        </w:rPr>
        <w:t>3898.73</w:t>
      </w:r>
      <w:r>
        <w:rPr>
          <w:rFonts w:hint="default" w:ascii="Times New Roman" w:hAnsi="Times New Roman" w:eastAsia="仿宋" w:cs="Times New Roman"/>
          <w:color w:val="auto"/>
          <w:sz w:val="32"/>
          <w:szCs w:val="32"/>
        </w:rPr>
        <w:t>万元，主要原因是：</w:t>
      </w:r>
      <w:r>
        <w:rPr>
          <w:rFonts w:hint="default" w:ascii="Times New Roman" w:hAnsi="Times New Roman" w:eastAsia="仿宋" w:cs="Times New Roman"/>
          <w:color w:val="auto"/>
          <w:sz w:val="32"/>
          <w:szCs w:val="32"/>
          <w:u w:val="single"/>
          <w:lang w:eastAsia="zh-CN"/>
        </w:rPr>
        <w:t>项目支出</w:t>
      </w:r>
      <w:r>
        <w:rPr>
          <w:rFonts w:hint="eastAsia" w:eastAsia="仿宋" w:cs="Times New Roman"/>
          <w:color w:val="auto"/>
          <w:sz w:val="32"/>
          <w:szCs w:val="32"/>
          <w:u w:val="single"/>
          <w:lang w:eastAsia="zh-CN"/>
        </w:rPr>
        <w:t>减少</w:t>
      </w:r>
      <w:r>
        <w:rPr>
          <w:rFonts w:hint="default" w:ascii="Times New Roman" w:hAnsi="Times New Roman" w:eastAsia="仿宋" w:cs="Times New Roman"/>
          <w:color w:val="auto"/>
          <w:sz w:val="32"/>
          <w:szCs w:val="32"/>
        </w:rPr>
        <w:t>。其中：上年结转</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4.2</w:t>
      </w:r>
      <w:r>
        <w:rPr>
          <w:rFonts w:hint="default" w:ascii="Times New Roman" w:hAnsi="Times New Roman" w:eastAsia="仿宋" w:cs="Times New Roman"/>
          <w:color w:val="auto"/>
          <w:sz w:val="32"/>
          <w:szCs w:val="32"/>
        </w:rPr>
        <w:t>万元， 占</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0.22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年一般公共预算拨款收入</w:t>
      </w:r>
      <w:r>
        <w:rPr>
          <w:rFonts w:hint="eastAsia" w:eastAsia="仿宋" w:cs="Times New Roman"/>
          <w:color w:val="auto"/>
          <w:sz w:val="32"/>
          <w:szCs w:val="32"/>
          <w:u w:val="single"/>
          <w:lang w:val="en-US" w:eastAsia="zh-CN"/>
        </w:rPr>
        <w:t>1920.34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99.78</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年政府性基金预算拨款收入</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年国有资本经营预算拨款收入</w:t>
      </w:r>
      <w:r>
        <w:rPr>
          <w:rFonts w:hint="default" w:ascii="Times New Roman" w:hAnsi="Times New Roman" w:eastAsia="仿宋" w:cs="Times New Roman"/>
          <w:color w:val="auto"/>
          <w:sz w:val="32"/>
          <w:szCs w:val="32"/>
          <w:u w:val="single"/>
          <w:lang w:val="en-US" w:eastAsia="zh-CN"/>
        </w:rPr>
        <w:t>0.1</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 xml:space="preserve"> %。</w:t>
      </w:r>
    </w:p>
    <w:p w14:paraId="49A2524C">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三、部门（单位）支出总体情况</w:t>
      </w:r>
    </w:p>
    <w:p w14:paraId="0DDCA143">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支出预算总量</w:t>
      </w:r>
      <w:r>
        <w:rPr>
          <w:rFonts w:hint="eastAsia" w:eastAsia="仿宋" w:cs="Times New Roman"/>
          <w:color w:val="auto"/>
          <w:sz w:val="32"/>
          <w:szCs w:val="32"/>
          <w:u w:val="single"/>
          <w:lang w:val="en-US" w:eastAsia="zh-CN"/>
        </w:rPr>
        <w:t>1924.64</w:t>
      </w:r>
      <w:r>
        <w:rPr>
          <w:rFonts w:hint="default" w:ascii="Times New Roman" w:hAnsi="Times New Roman" w:eastAsia="仿宋" w:cs="Times New Roman"/>
          <w:color w:val="auto"/>
          <w:sz w:val="32"/>
          <w:szCs w:val="32"/>
        </w:rPr>
        <w:t>万元，同比</w:t>
      </w:r>
      <w:r>
        <w:rPr>
          <w:rFonts w:hint="eastAsia" w:eastAsia="仿宋" w:cs="Times New Roman"/>
          <w:color w:val="auto"/>
          <w:sz w:val="32"/>
          <w:szCs w:val="32"/>
          <w:lang w:eastAsia="zh-CN"/>
        </w:rPr>
        <w:t>减少</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3898.73</w:t>
      </w:r>
      <w:r>
        <w:rPr>
          <w:rFonts w:hint="default" w:ascii="Times New Roman" w:hAnsi="Times New Roman" w:eastAsia="仿宋" w:cs="Times New Roman"/>
          <w:color w:val="auto"/>
          <w:sz w:val="32"/>
          <w:szCs w:val="32"/>
        </w:rPr>
        <w:t>万元，主要原因是：</w:t>
      </w:r>
      <w:r>
        <w:rPr>
          <w:rFonts w:hint="default" w:ascii="Times New Roman" w:hAnsi="Times New Roman" w:eastAsia="仿宋" w:cs="Times New Roman"/>
          <w:color w:val="auto"/>
          <w:sz w:val="32"/>
          <w:szCs w:val="32"/>
          <w:u w:val="single"/>
          <w:lang w:eastAsia="zh-CN"/>
        </w:rPr>
        <w:t>项目支出</w:t>
      </w:r>
      <w:r>
        <w:rPr>
          <w:rFonts w:hint="eastAsia" w:eastAsia="仿宋" w:cs="Times New Roman"/>
          <w:color w:val="auto"/>
          <w:sz w:val="32"/>
          <w:szCs w:val="32"/>
          <w:u w:val="single"/>
          <w:lang w:eastAsia="zh-CN"/>
        </w:rPr>
        <w:t>减少</w:t>
      </w:r>
      <w:r>
        <w:rPr>
          <w:rFonts w:hint="default" w:ascii="Times New Roman" w:hAnsi="Times New Roman" w:eastAsia="仿宋" w:cs="Times New Roman"/>
          <w:color w:val="auto"/>
          <w:sz w:val="32"/>
          <w:szCs w:val="32"/>
        </w:rPr>
        <w:t>。其中：基本支出</w:t>
      </w:r>
      <w:r>
        <w:rPr>
          <w:rFonts w:hint="default" w:ascii="Times New Roman" w:hAnsi="Times New Roman" w:eastAsia="仿宋" w:cs="Times New Roman"/>
          <w:color w:val="auto"/>
          <w:sz w:val="32"/>
          <w:szCs w:val="32"/>
          <w:u w:val="single"/>
          <w:lang w:val="en-US" w:eastAsia="zh-CN"/>
        </w:rPr>
        <w:t>348.45</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u w:val="single"/>
          <w:lang w:val="en-US" w:eastAsia="zh-CN"/>
        </w:rPr>
        <w:t>18.1</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%；项目支出</w:t>
      </w:r>
      <w:r>
        <w:rPr>
          <w:rFonts w:hint="default" w:ascii="Times New Roman" w:hAnsi="Times New Roman" w:eastAsia="仿宋" w:cs="Times New Roman"/>
          <w:color w:val="auto"/>
          <w:sz w:val="32"/>
          <w:szCs w:val="32"/>
          <w:u w:val="single"/>
        </w:rPr>
        <w:t>1576.09</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u w:val="single"/>
          <w:lang w:val="en-US" w:eastAsia="zh-CN"/>
        </w:rPr>
        <w:t>81.89</w:t>
      </w:r>
      <w:r>
        <w:rPr>
          <w:rFonts w:hint="default" w:ascii="Times New Roman" w:hAnsi="Times New Roman" w:eastAsia="仿宋" w:cs="Times New Roman"/>
          <w:color w:val="auto"/>
          <w:sz w:val="32"/>
          <w:szCs w:val="32"/>
        </w:rPr>
        <w:t>%；事业单位经营支出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14:paraId="57A39A2F">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四、财政拨款收支总体情况</w:t>
      </w:r>
    </w:p>
    <w:p w14:paraId="72C679A3">
      <w:pPr>
        <w:ind w:firstLine="640" w:firstLineChars="200"/>
        <w:jc w:val="left"/>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rPr>
        <w:t>财政拨款收支总预算</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1924.64</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万元，同比</w:t>
      </w:r>
      <w:r>
        <w:rPr>
          <w:rFonts w:hint="eastAsia" w:eastAsia="仿宋" w:cs="Times New Roman"/>
          <w:color w:val="auto"/>
          <w:sz w:val="32"/>
          <w:szCs w:val="32"/>
          <w:lang w:eastAsia="zh-CN"/>
        </w:rPr>
        <w:t>减少</w:t>
      </w:r>
      <w:r>
        <w:rPr>
          <w:rFonts w:hint="eastAsia" w:eastAsia="仿宋" w:cs="Times New Roman"/>
          <w:color w:val="auto"/>
          <w:sz w:val="32"/>
          <w:szCs w:val="32"/>
          <w:u w:val="single"/>
          <w:lang w:val="en-US" w:eastAsia="zh-CN"/>
        </w:rPr>
        <w:t>3898.73</w:t>
      </w:r>
      <w:r>
        <w:rPr>
          <w:rFonts w:hint="default" w:ascii="Times New Roman" w:hAnsi="Times New Roman" w:eastAsia="仿宋" w:cs="Times New Roman"/>
          <w:color w:val="auto"/>
          <w:sz w:val="32"/>
          <w:szCs w:val="32"/>
        </w:rPr>
        <w:t>万元，主要原因是：</w:t>
      </w:r>
      <w:r>
        <w:rPr>
          <w:rFonts w:hint="default" w:ascii="Times New Roman" w:hAnsi="Times New Roman" w:eastAsia="仿宋" w:cs="Times New Roman"/>
          <w:color w:val="auto"/>
          <w:sz w:val="32"/>
          <w:szCs w:val="32"/>
          <w:u w:val="single"/>
          <w:lang w:eastAsia="zh-CN"/>
        </w:rPr>
        <w:t>项目支出</w:t>
      </w:r>
      <w:r>
        <w:rPr>
          <w:rFonts w:hint="eastAsia" w:eastAsia="仿宋" w:cs="Times New Roman"/>
          <w:color w:val="auto"/>
          <w:sz w:val="32"/>
          <w:szCs w:val="32"/>
          <w:u w:val="single"/>
          <w:lang w:eastAsia="zh-CN"/>
        </w:rPr>
        <w:t>减少</w:t>
      </w:r>
      <w:r>
        <w:rPr>
          <w:rFonts w:hint="default" w:ascii="Times New Roman" w:hAnsi="Times New Roman" w:eastAsia="仿宋" w:cs="Times New Roman"/>
          <w:color w:val="auto"/>
          <w:sz w:val="32"/>
          <w:szCs w:val="32"/>
        </w:rPr>
        <w:t>。收入包括：一般公共预算当年拨款收入</w:t>
      </w:r>
      <w:r>
        <w:rPr>
          <w:rFonts w:hint="eastAsia" w:eastAsia="仿宋" w:cs="Times New Roman"/>
          <w:color w:val="auto"/>
          <w:sz w:val="32"/>
          <w:szCs w:val="32"/>
          <w:u w:val="single"/>
          <w:lang w:val="en-US" w:eastAsia="zh-CN"/>
        </w:rPr>
        <w:t>1920.34</w:t>
      </w:r>
      <w:r>
        <w:rPr>
          <w:rFonts w:hint="default" w:ascii="Times New Roman" w:hAnsi="Times New Roman" w:eastAsia="仿宋" w:cs="Times New Roman"/>
          <w:color w:val="auto"/>
          <w:sz w:val="32"/>
          <w:szCs w:val="32"/>
        </w:rPr>
        <w:t>万元、政府性基金</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万元、国有资本经营预算</w:t>
      </w:r>
      <w:r>
        <w:rPr>
          <w:rFonts w:hint="default" w:ascii="Times New Roman" w:hAnsi="Times New Roman" w:eastAsia="仿宋" w:cs="Times New Roman"/>
          <w:color w:val="auto"/>
          <w:sz w:val="32"/>
          <w:szCs w:val="32"/>
          <w:u w:val="single"/>
          <w:lang w:val="en-US" w:eastAsia="zh-CN"/>
        </w:rPr>
        <w:t>0.1</w:t>
      </w:r>
      <w:r>
        <w:rPr>
          <w:rFonts w:hint="default" w:ascii="Times New Roman" w:hAnsi="Times New Roman" w:eastAsia="仿宋" w:cs="Times New Roman"/>
          <w:color w:val="auto"/>
          <w:sz w:val="32"/>
          <w:szCs w:val="32"/>
        </w:rPr>
        <w:t>万元、上年结转</w:t>
      </w:r>
      <w:r>
        <w:rPr>
          <w:rFonts w:hint="eastAsia" w:eastAsia="仿宋" w:cs="Times New Roman"/>
          <w:color w:val="auto"/>
          <w:sz w:val="32"/>
          <w:szCs w:val="32"/>
          <w:u w:val="single"/>
          <w:lang w:val="en-US" w:eastAsia="zh-CN"/>
        </w:rPr>
        <w:t>4.2</w:t>
      </w:r>
      <w:r>
        <w:rPr>
          <w:rFonts w:hint="default" w:ascii="Times New Roman" w:hAnsi="Times New Roman" w:eastAsia="仿宋" w:cs="Times New Roman"/>
          <w:color w:val="auto"/>
          <w:sz w:val="32"/>
          <w:szCs w:val="32"/>
        </w:rPr>
        <w:t>万元；支出包括：一般公共服务支出</w:t>
      </w:r>
      <w:r>
        <w:rPr>
          <w:rFonts w:hint="default" w:ascii="Times New Roman" w:hAnsi="Times New Roman" w:eastAsia="仿宋" w:cs="Times New Roman"/>
          <w:color w:val="auto"/>
          <w:sz w:val="32"/>
          <w:szCs w:val="32"/>
          <w:u w:val="single"/>
        </w:rPr>
        <w:t>1811.37</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国防</w:t>
      </w:r>
      <w:r>
        <w:rPr>
          <w:rFonts w:hint="default" w:ascii="Times New Roman" w:hAnsi="Times New Roman" w:eastAsia="仿宋" w:cs="Times New Roman"/>
          <w:color w:val="auto"/>
          <w:sz w:val="32"/>
          <w:szCs w:val="32"/>
        </w:rPr>
        <w:t>支出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35</w:t>
      </w:r>
      <w:r>
        <w:rPr>
          <w:rFonts w:hint="default" w:ascii="Times New Roman" w:hAnsi="Times New Roman" w:eastAsia="仿宋" w:cs="Times New Roman"/>
          <w:color w:val="auto"/>
          <w:sz w:val="32"/>
          <w:szCs w:val="32"/>
        </w:rPr>
        <w:t>万元、社会保障和就业支出</w:t>
      </w:r>
      <w:r>
        <w:rPr>
          <w:rFonts w:hint="default" w:ascii="Times New Roman" w:hAnsi="Times New Roman" w:eastAsia="仿宋" w:cs="Times New Roman"/>
          <w:color w:val="auto"/>
          <w:sz w:val="32"/>
          <w:szCs w:val="32"/>
          <w:u w:val="single"/>
        </w:rPr>
        <w:t>31.25</w:t>
      </w:r>
      <w:r>
        <w:rPr>
          <w:rFonts w:hint="default" w:ascii="Times New Roman" w:hAnsi="Times New Roman" w:eastAsia="仿宋" w:cs="Times New Roman"/>
          <w:color w:val="auto"/>
          <w:sz w:val="32"/>
          <w:szCs w:val="32"/>
        </w:rPr>
        <w:t>万元、卫生健康支出</w:t>
      </w:r>
      <w:r>
        <w:rPr>
          <w:rFonts w:hint="default" w:ascii="Times New Roman" w:hAnsi="Times New Roman" w:eastAsia="仿宋" w:cs="Times New Roman"/>
          <w:color w:val="auto"/>
          <w:sz w:val="32"/>
          <w:szCs w:val="32"/>
          <w:u w:val="single"/>
        </w:rPr>
        <w:t>23.64</w:t>
      </w:r>
      <w:r>
        <w:rPr>
          <w:rFonts w:hint="default" w:ascii="Times New Roman" w:hAnsi="Times New Roman" w:eastAsia="仿宋" w:cs="Times New Roman"/>
          <w:color w:val="auto"/>
          <w:sz w:val="32"/>
          <w:szCs w:val="32"/>
        </w:rPr>
        <w:t>万元、住房保障支出</w:t>
      </w:r>
      <w:r>
        <w:rPr>
          <w:rFonts w:hint="default" w:ascii="Times New Roman" w:hAnsi="Times New Roman" w:eastAsia="仿宋" w:cs="Times New Roman"/>
          <w:color w:val="auto"/>
          <w:sz w:val="32"/>
          <w:szCs w:val="32"/>
          <w:u w:val="single"/>
        </w:rPr>
        <w:t>23.27</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、国有资本经营预算支出</w:t>
      </w:r>
      <w:r>
        <w:rPr>
          <w:rFonts w:hint="default" w:ascii="Times New Roman" w:hAnsi="Times New Roman" w:eastAsia="仿宋" w:cs="Times New Roman"/>
          <w:color w:val="auto"/>
          <w:sz w:val="32"/>
          <w:szCs w:val="32"/>
          <w:u w:val="single"/>
          <w:lang w:val="en-US" w:eastAsia="zh-CN"/>
        </w:rPr>
        <w:t>0.</w:t>
      </w:r>
      <w:r>
        <w:rPr>
          <w:rFonts w:hint="eastAsia" w:eastAsia="仿宋" w:cs="Times New Roman"/>
          <w:color w:val="auto"/>
          <w:sz w:val="32"/>
          <w:szCs w:val="32"/>
          <w:u w:val="single"/>
          <w:lang w:val="en-US" w:eastAsia="zh-CN"/>
        </w:rPr>
        <w:t>1</w:t>
      </w:r>
      <w:r>
        <w:rPr>
          <w:rFonts w:hint="default" w:ascii="Times New Roman" w:hAnsi="Times New Roman" w:eastAsia="仿宋" w:cs="Times New Roman"/>
          <w:color w:val="auto"/>
          <w:sz w:val="32"/>
          <w:szCs w:val="32"/>
          <w:u w:val="none"/>
          <w:lang w:val="en-US" w:eastAsia="zh-CN"/>
        </w:rPr>
        <w:t>万元、。</w:t>
      </w:r>
    </w:p>
    <w:p w14:paraId="0F0B8DDF">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五、一般公共预算支出总体情况</w:t>
      </w:r>
    </w:p>
    <w:p w14:paraId="4E46D905">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（一）一般公共预算当年拨款规模变化情况。</w:t>
      </w:r>
    </w:p>
    <w:p w14:paraId="4864BA38">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一般公共预算当年拨款</w:t>
      </w:r>
      <w:r>
        <w:rPr>
          <w:rFonts w:hint="eastAsia" w:eastAsia="仿宋" w:cs="Times New Roman"/>
          <w:color w:val="auto"/>
          <w:sz w:val="32"/>
          <w:szCs w:val="32"/>
          <w:u w:val="single"/>
          <w:lang w:val="en-US" w:eastAsia="zh-CN"/>
        </w:rPr>
        <w:t>1920.34</w:t>
      </w:r>
      <w:r>
        <w:rPr>
          <w:rFonts w:hint="default" w:ascii="Times New Roman" w:hAnsi="Times New Roman" w:eastAsia="仿宋" w:cs="Times New Roman"/>
          <w:color w:val="auto"/>
          <w:sz w:val="32"/>
          <w:szCs w:val="32"/>
        </w:rPr>
        <w:t>万元,比202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年执行数</w:t>
      </w:r>
      <w:r>
        <w:rPr>
          <w:rFonts w:hint="eastAsia" w:eastAsia="仿宋" w:cs="Times New Roman"/>
          <w:color w:val="auto"/>
          <w:sz w:val="32"/>
          <w:szCs w:val="32"/>
          <w:lang w:eastAsia="zh-CN"/>
        </w:rPr>
        <w:t>减少</w:t>
      </w:r>
      <w:r>
        <w:rPr>
          <w:rFonts w:hint="eastAsia" w:eastAsia="仿宋" w:cs="Times New Roman"/>
          <w:color w:val="auto"/>
          <w:sz w:val="32"/>
          <w:szCs w:val="32"/>
          <w:u w:val="single"/>
          <w:lang w:val="en-US" w:eastAsia="zh-CN"/>
        </w:rPr>
        <w:t>3898.73</w:t>
      </w:r>
      <w:r>
        <w:rPr>
          <w:rFonts w:hint="default" w:ascii="Times New Roman" w:hAnsi="Times New Roman" w:eastAsia="仿宋" w:cs="Times New Roman"/>
          <w:color w:val="auto"/>
          <w:sz w:val="32"/>
          <w:szCs w:val="32"/>
        </w:rPr>
        <w:t>万元，主要原因：</w:t>
      </w:r>
      <w:r>
        <w:rPr>
          <w:rFonts w:hint="eastAsia" w:eastAsia="仿宋" w:cs="Times New Roman"/>
          <w:color w:val="auto"/>
          <w:sz w:val="32"/>
          <w:szCs w:val="32"/>
          <w:u w:val="single"/>
          <w:lang w:eastAsia="zh-CN"/>
        </w:rPr>
        <w:t>项目支出减少</w:t>
      </w:r>
      <w:r>
        <w:rPr>
          <w:rFonts w:hint="default" w:ascii="Times New Roman" w:hAnsi="Times New Roman" w:eastAsia="仿宋" w:cs="Times New Roman"/>
          <w:color w:val="auto"/>
          <w:sz w:val="32"/>
          <w:szCs w:val="32"/>
        </w:rPr>
        <w:t>。</w:t>
      </w:r>
    </w:p>
    <w:p w14:paraId="48C36C54">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（二）一般公共预算当年拨款结构情况。</w:t>
      </w:r>
    </w:p>
    <w:p w14:paraId="7A268A87">
      <w:pPr>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一般公共预算当年拨款</w:t>
      </w:r>
      <w:r>
        <w:rPr>
          <w:rFonts w:hint="eastAsia" w:eastAsia="仿宋" w:cs="Times New Roman"/>
          <w:color w:val="auto"/>
          <w:sz w:val="32"/>
          <w:szCs w:val="32"/>
          <w:u w:val="single"/>
          <w:lang w:val="en-US" w:eastAsia="zh-CN"/>
        </w:rPr>
        <w:t>1920.34</w:t>
      </w:r>
      <w:r>
        <w:rPr>
          <w:rFonts w:hint="default" w:ascii="Times New Roman" w:hAnsi="Times New Roman" w:eastAsia="仿宋" w:cs="Times New Roman"/>
          <w:color w:val="auto"/>
          <w:sz w:val="32"/>
          <w:szCs w:val="32"/>
        </w:rPr>
        <w:t>万元,主要用于以下方面：一般公共服务支出</w:t>
      </w:r>
      <w:r>
        <w:rPr>
          <w:rFonts w:hint="eastAsia" w:eastAsia="仿宋" w:cs="Times New Roman"/>
          <w:color w:val="auto"/>
          <w:sz w:val="32"/>
          <w:szCs w:val="32"/>
          <w:u w:val="single"/>
          <w:lang w:val="en-US" w:eastAsia="zh-CN"/>
        </w:rPr>
        <w:t>1811.37</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u w:val="single"/>
          <w:lang w:val="en-US" w:eastAsia="zh-CN"/>
        </w:rPr>
        <w:t>94.33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国防</w:t>
      </w:r>
      <w:r>
        <w:rPr>
          <w:rFonts w:hint="default" w:ascii="Times New Roman" w:hAnsi="Times New Roman" w:eastAsia="仿宋" w:cs="Times New Roman"/>
          <w:color w:val="auto"/>
          <w:sz w:val="32"/>
          <w:szCs w:val="32"/>
        </w:rPr>
        <w:t>支出</w:t>
      </w:r>
      <w:r>
        <w:rPr>
          <w:rFonts w:hint="eastAsia" w:eastAsia="仿宋" w:cs="Times New Roman"/>
          <w:color w:val="auto"/>
          <w:sz w:val="32"/>
          <w:szCs w:val="32"/>
          <w:u w:val="single"/>
          <w:lang w:val="en-US" w:eastAsia="zh-CN"/>
        </w:rPr>
        <w:t>35</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u w:val="single"/>
          <w:lang w:val="en-US" w:eastAsia="zh-CN"/>
        </w:rPr>
        <w:t>1.82</w:t>
      </w:r>
      <w:r>
        <w:rPr>
          <w:rFonts w:hint="default" w:ascii="Times New Roman" w:hAnsi="Times New Roman" w:eastAsia="仿宋" w:cs="Times New Roman"/>
          <w:color w:val="auto"/>
          <w:sz w:val="32"/>
          <w:szCs w:val="32"/>
        </w:rPr>
        <w:t>%；社会保障和就业支出</w:t>
      </w:r>
      <w:r>
        <w:rPr>
          <w:rFonts w:hint="eastAsia" w:eastAsia="仿宋" w:cs="Times New Roman"/>
          <w:color w:val="auto"/>
          <w:sz w:val="32"/>
          <w:szCs w:val="32"/>
          <w:u w:val="single"/>
          <w:lang w:val="en-US" w:eastAsia="zh-CN"/>
        </w:rPr>
        <w:t>31.25</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u w:val="single"/>
          <w:lang w:val="en-US" w:eastAsia="zh-CN"/>
        </w:rPr>
        <w:t>1.63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卫生健康支出</w:t>
      </w:r>
      <w:r>
        <w:rPr>
          <w:rFonts w:hint="eastAsia" w:eastAsia="仿宋" w:cs="Times New Roman"/>
          <w:color w:val="auto"/>
          <w:sz w:val="32"/>
          <w:szCs w:val="32"/>
          <w:u w:val="single"/>
          <w:lang w:val="en-US" w:eastAsia="zh-CN"/>
        </w:rPr>
        <w:t>23.64</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u w:val="single"/>
          <w:lang w:val="en-US" w:eastAsia="zh-CN"/>
        </w:rPr>
        <w:t>1.23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住房保障支出</w:t>
      </w:r>
      <w:r>
        <w:rPr>
          <w:rFonts w:hint="eastAsia" w:eastAsia="仿宋" w:cs="Times New Roman"/>
          <w:color w:val="auto"/>
          <w:sz w:val="32"/>
          <w:szCs w:val="32"/>
          <w:u w:val="single"/>
          <w:lang w:val="en-US" w:eastAsia="zh-CN"/>
        </w:rPr>
        <w:t>23.27</w:t>
      </w:r>
      <w:r>
        <w:rPr>
          <w:rFonts w:hint="default" w:ascii="Times New Roman" w:hAnsi="Times New Roman" w:eastAsia="仿宋" w:cs="Times New Roman"/>
          <w:color w:val="auto"/>
          <w:sz w:val="32"/>
          <w:szCs w:val="32"/>
        </w:rPr>
        <w:t>万元，占</w:t>
      </w:r>
      <w:r>
        <w:rPr>
          <w:rFonts w:hint="eastAsia" w:eastAsia="仿宋" w:cs="Times New Roman"/>
          <w:color w:val="auto"/>
          <w:sz w:val="32"/>
          <w:szCs w:val="32"/>
          <w:u w:val="single"/>
          <w:lang w:val="en-US" w:eastAsia="zh-CN"/>
        </w:rPr>
        <w:t>1.21</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p>
    <w:p w14:paraId="694565D8">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六、一般公共预算基本支出总体情况</w:t>
      </w:r>
    </w:p>
    <w:p w14:paraId="49600609">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年一般公共预算基本支出</w:t>
      </w:r>
      <w:r>
        <w:rPr>
          <w:rFonts w:hint="eastAsia" w:eastAsia="仿宋" w:cs="Times New Roman"/>
          <w:color w:val="auto"/>
          <w:sz w:val="32"/>
          <w:szCs w:val="32"/>
          <w:u w:val="single"/>
          <w:lang w:val="en-US" w:eastAsia="zh-CN"/>
        </w:rPr>
        <w:t>348.45</w:t>
      </w:r>
      <w:r>
        <w:rPr>
          <w:rFonts w:hint="default" w:ascii="Times New Roman" w:hAnsi="Times New Roman" w:eastAsia="仿宋" w:cs="Times New Roman"/>
          <w:color w:val="auto"/>
          <w:sz w:val="32"/>
          <w:szCs w:val="32"/>
        </w:rPr>
        <w:t>万元，其中：</w:t>
      </w:r>
    </w:p>
    <w:p w14:paraId="0DD2671A">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人员经费</w:t>
      </w:r>
      <w:r>
        <w:rPr>
          <w:rFonts w:hint="eastAsia" w:eastAsia="仿宋" w:cs="Times New Roman"/>
          <w:color w:val="auto"/>
          <w:sz w:val="32"/>
          <w:szCs w:val="32"/>
          <w:u w:val="single"/>
          <w:lang w:val="en-US" w:eastAsia="zh-CN"/>
        </w:rPr>
        <w:t>324</w:t>
      </w:r>
      <w:r>
        <w:rPr>
          <w:rFonts w:hint="default" w:ascii="Times New Roman" w:hAnsi="Times New Roman" w:eastAsia="仿宋" w:cs="Times New Roman"/>
          <w:color w:val="auto"/>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14:paraId="0E53E574">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公用经费</w:t>
      </w:r>
      <w:r>
        <w:rPr>
          <w:rFonts w:hint="eastAsia" w:eastAsia="仿宋" w:cs="Times New Roman"/>
          <w:color w:val="auto"/>
          <w:sz w:val="32"/>
          <w:szCs w:val="32"/>
          <w:u w:val="single"/>
          <w:lang w:val="en-US" w:eastAsia="zh-CN"/>
        </w:rPr>
        <w:t>24.45</w:t>
      </w:r>
      <w:r>
        <w:rPr>
          <w:rFonts w:hint="default" w:ascii="Times New Roman" w:hAnsi="Times New Roman" w:eastAsia="仿宋" w:cs="Times New Roman"/>
          <w:color w:val="auto"/>
          <w:sz w:val="32"/>
          <w:szCs w:val="32"/>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r>
        <w:rPr>
          <w:rFonts w:hint="eastAsia" w:eastAsia="仿宋" w:cs="Times New Roman"/>
          <w:color w:val="auto"/>
          <w:sz w:val="32"/>
          <w:szCs w:val="32"/>
          <w:lang w:eastAsia="zh-CN"/>
        </w:rPr>
        <w:t>、用氧补助经费</w:t>
      </w:r>
      <w:r>
        <w:rPr>
          <w:rFonts w:hint="default" w:ascii="Times New Roman" w:hAnsi="Times New Roman" w:eastAsia="仿宋" w:cs="Times New Roman"/>
          <w:color w:val="auto"/>
          <w:sz w:val="32"/>
          <w:szCs w:val="32"/>
        </w:rPr>
        <w:t>。</w:t>
      </w:r>
    </w:p>
    <w:p w14:paraId="5F3D6F79">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七、一般公共预算“三公”经费预算总体情况</w:t>
      </w:r>
    </w:p>
    <w:p w14:paraId="731EABAE">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年“三公”经费预算数为</w:t>
      </w:r>
      <w:r>
        <w:rPr>
          <w:rFonts w:hint="eastAsia" w:eastAsia="仿宋" w:cs="Times New Roman"/>
          <w:color w:val="auto"/>
          <w:sz w:val="32"/>
          <w:szCs w:val="32"/>
          <w:u w:val="single"/>
          <w:lang w:val="en-US" w:eastAsia="zh-CN"/>
        </w:rPr>
        <w:t>5.58</w:t>
      </w:r>
      <w:r>
        <w:rPr>
          <w:rFonts w:hint="default" w:ascii="Times New Roman" w:hAnsi="Times New Roman" w:eastAsia="仿宋" w:cs="Times New Roman"/>
          <w:color w:val="auto"/>
          <w:sz w:val="32"/>
          <w:szCs w:val="32"/>
        </w:rPr>
        <w:t>万元，其中：因公出国（境）费</w:t>
      </w:r>
      <w:r>
        <w:rPr>
          <w:rFonts w:hint="eastAsia"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万元，公务用车购置</w:t>
      </w:r>
      <w:r>
        <w:rPr>
          <w:rFonts w:hint="eastAsia" w:eastAsia="仿宋" w:cs="Times New Roman"/>
          <w:color w:val="auto"/>
          <w:sz w:val="32"/>
          <w:szCs w:val="32"/>
          <w:u w:val="single"/>
          <w:lang w:val="en-US" w:eastAsia="zh-CN"/>
        </w:rPr>
        <w:t>0</w:t>
      </w:r>
      <w:r>
        <w:rPr>
          <w:rFonts w:hint="eastAsia" w:eastAsia="仿宋" w:cs="Times New Roman"/>
          <w:color w:val="auto"/>
          <w:sz w:val="32"/>
          <w:szCs w:val="32"/>
          <w:u w:val="none"/>
          <w:lang w:val="en-US" w:eastAsia="zh-CN"/>
        </w:rPr>
        <w:t>万元</w:t>
      </w:r>
      <w:r>
        <w:rPr>
          <w:rFonts w:hint="default" w:ascii="Times New Roman" w:hAnsi="Times New Roman" w:eastAsia="仿宋" w:cs="Times New Roman"/>
          <w:color w:val="auto"/>
          <w:sz w:val="32"/>
          <w:szCs w:val="32"/>
        </w:rPr>
        <w:t>，公车运行费</w:t>
      </w:r>
      <w:r>
        <w:rPr>
          <w:rFonts w:hint="eastAsia" w:eastAsia="仿宋" w:cs="Times New Roman"/>
          <w:color w:val="auto"/>
          <w:sz w:val="32"/>
          <w:szCs w:val="32"/>
          <w:u w:val="single"/>
          <w:lang w:val="en-US" w:eastAsia="zh-CN"/>
        </w:rPr>
        <w:t>5.4</w:t>
      </w:r>
      <w:r>
        <w:rPr>
          <w:rFonts w:hint="default" w:ascii="Times New Roman" w:hAnsi="Times New Roman" w:eastAsia="仿宋" w:cs="Times New Roman"/>
          <w:color w:val="auto"/>
          <w:sz w:val="32"/>
          <w:szCs w:val="32"/>
        </w:rPr>
        <w:t>万元，公务接待费</w:t>
      </w:r>
      <w:r>
        <w:rPr>
          <w:rFonts w:hint="eastAsia" w:eastAsia="仿宋" w:cs="Times New Roman"/>
          <w:color w:val="auto"/>
          <w:sz w:val="32"/>
          <w:szCs w:val="32"/>
          <w:u w:val="single"/>
          <w:lang w:val="en-US" w:eastAsia="zh-CN"/>
        </w:rPr>
        <w:t>0.18</w:t>
      </w:r>
      <w:r>
        <w:rPr>
          <w:rFonts w:hint="default" w:ascii="Times New Roman" w:hAnsi="Times New Roman" w:eastAsia="仿宋" w:cs="Times New Roman"/>
          <w:color w:val="auto"/>
          <w:sz w:val="32"/>
          <w:szCs w:val="32"/>
        </w:rPr>
        <w:t>万元。“三公”经费预算比202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eastAsia="zh-CN"/>
        </w:rPr>
        <w:t>增加</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1.24</w:t>
      </w:r>
      <w:r>
        <w:rPr>
          <w:rFonts w:hint="default" w:ascii="Times New Roman" w:hAnsi="Times New Roman" w:eastAsia="仿宋" w:cs="Times New Roman"/>
          <w:color w:val="auto"/>
          <w:sz w:val="32"/>
          <w:szCs w:val="32"/>
        </w:rPr>
        <w:t>万元，</w:t>
      </w:r>
      <w:r>
        <w:rPr>
          <w:rFonts w:hint="eastAsia" w:eastAsia="仿宋" w:cs="Times New Roman"/>
          <w:color w:val="auto"/>
          <w:sz w:val="32"/>
          <w:szCs w:val="32"/>
          <w:lang w:eastAsia="zh-CN"/>
        </w:rPr>
        <w:t>上升</w:t>
      </w:r>
      <w:r>
        <w:rPr>
          <w:rFonts w:hint="eastAsia" w:eastAsia="仿宋" w:cs="Times New Roman"/>
          <w:color w:val="auto"/>
          <w:sz w:val="32"/>
          <w:szCs w:val="32"/>
          <w:u w:val="single"/>
          <w:lang w:val="en-US" w:eastAsia="zh-CN"/>
        </w:rPr>
        <w:t>28.57</w:t>
      </w:r>
      <w:r>
        <w:rPr>
          <w:rFonts w:hint="default" w:ascii="Times New Roman" w:hAnsi="Times New Roman" w:eastAsia="仿宋" w:cs="Times New Roman"/>
          <w:color w:val="auto"/>
          <w:sz w:val="32"/>
          <w:szCs w:val="32"/>
        </w:rPr>
        <w:t>%，主要原因是</w:t>
      </w:r>
      <w:r>
        <w:rPr>
          <w:rFonts w:hint="default" w:ascii="Times New Roman" w:hAnsi="Times New Roman" w:eastAsia="仿宋" w:cs="Times New Roman"/>
          <w:color w:val="auto"/>
          <w:sz w:val="32"/>
          <w:szCs w:val="32"/>
          <w:u w:val="single"/>
          <w:lang w:eastAsia="zh-CN"/>
        </w:rPr>
        <w:t>人员</w:t>
      </w:r>
      <w:r>
        <w:rPr>
          <w:rFonts w:hint="eastAsia" w:eastAsia="仿宋" w:cs="Times New Roman"/>
          <w:color w:val="auto"/>
          <w:sz w:val="32"/>
          <w:szCs w:val="32"/>
          <w:u w:val="single"/>
          <w:lang w:eastAsia="zh-CN"/>
        </w:rPr>
        <w:t>增加</w:t>
      </w:r>
      <w:r>
        <w:rPr>
          <w:rFonts w:hint="default" w:ascii="Times New Roman" w:hAnsi="Times New Roman" w:eastAsia="仿宋" w:cs="Times New Roman"/>
          <w:color w:val="auto"/>
          <w:sz w:val="32"/>
          <w:szCs w:val="32"/>
        </w:rPr>
        <w:t>。</w:t>
      </w:r>
    </w:p>
    <w:p w14:paraId="42D179F2">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年因公出国（境）</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个团组、</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人，公务用车购置</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辆、保有</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1</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量，国内公务接待</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批次、</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14:paraId="7F9E3A3A">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八、政府性基金预算支出总体情况</w:t>
      </w:r>
    </w:p>
    <w:p w14:paraId="1EAF049C">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政府性基金预算当年拨款</w:t>
      </w:r>
      <w:r>
        <w:rPr>
          <w:rFonts w:hint="default" w:ascii="Times New Roman" w:hAnsi="Times New Roman" w:eastAsia="仿宋_GB2312" w:cs="Times New Roman"/>
          <w:color w:val="auto"/>
          <w:kern w:val="0"/>
          <w:sz w:val="32"/>
          <w:szCs w:val="32"/>
          <w:u w:val="single"/>
        </w:rPr>
        <w:t xml:space="preserve"> 0 </w:t>
      </w:r>
      <w:r>
        <w:rPr>
          <w:rFonts w:hint="default" w:ascii="Times New Roman" w:hAnsi="Times New Roman" w:eastAsia="仿宋" w:cs="Times New Roman"/>
          <w:color w:val="auto"/>
          <w:sz w:val="32"/>
          <w:szCs w:val="32"/>
        </w:rPr>
        <w:t>万元,比2023年执行数减少</w:t>
      </w:r>
      <w:r>
        <w:rPr>
          <w:rFonts w:hint="default" w:ascii="Times New Roman" w:hAnsi="Times New Roman" w:eastAsia="仿宋_GB2312" w:cs="Times New Roman"/>
          <w:color w:val="auto"/>
          <w:kern w:val="0"/>
          <w:sz w:val="32"/>
          <w:szCs w:val="32"/>
          <w:u w:val="single"/>
        </w:rPr>
        <w:t xml:space="preserve"> 0 </w:t>
      </w:r>
      <w:r>
        <w:rPr>
          <w:rFonts w:hint="default" w:ascii="Times New Roman" w:hAnsi="Times New Roman" w:eastAsia="仿宋" w:cs="Times New Roman"/>
          <w:color w:val="auto"/>
          <w:sz w:val="32"/>
          <w:szCs w:val="32"/>
        </w:rPr>
        <w:t>万元</w:t>
      </w:r>
      <w:r>
        <w:rPr>
          <w:rFonts w:hint="default" w:ascii="Times New Roman" w:hAnsi="Times New Roman" w:eastAsia="仿宋_GB2312" w:cs="Times New Roman"/>
          <w:color w:val="auto"/>
          <w:kern w:val="0"/>
          <w:sz w:val="32"/>
          <w:szCs w:val="32"/>
        </w:rPr>
        <w:t>，</w:t>
      </w:r>
      <w:r>
        <w:rPr>
          <w:rFonts w:hint="default" w:ascii="Times New Roman" w:hAnsi="Times New Roman" w:eastAsia="仿宋" w:cs="Times New Roman"/>
          <w:color w:val="auto"/>
          <w:sz w:val="32"/>
          <w:szCs w:val="32"/>
        </w:rPr>
        <w:t xml:space="preserve"> 我单位</w:t>
      </w: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年度没有政府性基金安排的支出。</w:t>
      </w:r>
    </w:p>
    <w:p w14:paraId="50A5EA14">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九、政府性基金“三公”经费总体情况</w:t>
      </w:r>
    </w:p>
    <w:p w14:paraId="475114B7">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我单位</w:t>
      </w: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年度没有政府性基金安排的支出。</w:t>
      </w:r>
    </w:p>
    <w:p w14:paraId="3DCF4AFD">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十、其他重要事项的情况说明</w:t>
      </w:r>
    </w:p>
    <w:p w14:paraId="7B331F41">
      <w:pPr>
        <w:autoSpaceDE w:val="0"/>
        <w:autoSpaceDN w:val="0"/>
        <w:adjustRightInd w:val="0"/>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）政府采购情况说明。</w:t>
      </w:r>
    </w:p>
    <w:p w14:paraId="2AD9E0D3">
      <w:pPr>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我局未安排采购预算。</w:t>
      </w:r>
    </w:p>
    <w:p w14:paraId="143C70DF">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）国有资产占有使用情况说明。</w:t>
      </w:r>
    </w:p>
    <w:p w14:paraId="0AD1296B">
      <w:pPr>
        <w:autoSpaceDE w:val="0"/>
        <w:autoSpaceDN w:val="0"/>
        <w:adjustRightInd w:val="0"/>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截至</w:t>
      </w: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w:t>
      </w:r>
      <w:r>
        <w:rPr>
          <w:rFonts w:hint="eastAsia" w:eastAsia="仿宋_GB2312" w:cs="Times New Roman"/>
          <w:color w:val="auto"/>
          <w:kern w:val="0"/>
          <w:sz w:val="32"/>
          <w:szCs w:val="32"/>
          <w:u w:val="single"/>
          <w:lang w:val="en-US" w:eastAsia="zh-CN"/>
        </w:rPr>
        <w:t>1</w:t>
      </w:r>
      <w:r>
        <w:rPr>
          <w:rFonts w:hint="default" w:ascii="Times New Roman" w:hAnsi="Times New Roman" w:eastAsia="仿宋" w:cs="Times New Roman"/>
          <w:color w:val="auto"/>
          <w:sz w:val="32"/>
          <w:szCs w:val="32"/>
        </w:rPr>
        <w:t>月底，本部门及所属各预算单位共有车辆</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1</w:t>
      </w:r>
      <w:r>
        <w:rPr>
          <w:rFonts w:hint="default" w:ascii="Times New Roman" w:hAnsi="Times New Roman" w:eastAsia="仿宋" w:cs="Times New Roman"/>
          <w:color w:val="auto"/>
          <w:sz w:val="32"/>
          <w:szCs w:val="32"/>
        </w:rPr>
        <w:t>辆，其中，其他用车</w:t>
      </w:r>
      <w:r>
        <w:rPr>
          <w:rFonts w:hint="eastAsia" w:eastAsia="仿宋_GB2312" w:cs="Times New Roman"/>
          <w:color w:val="auto"/>
          <w:kern w:val="0"/>
          <w:sz w:val="32"/>
          <w:szCs w:val="32"/>
          <w:u w:val="single"/>
          <w:lang w:val="en-US" w:eastAsia="zh-CN"/>
        </w:rPr>
        <w:t>1</w:t>
      </w:r>
      <w:r>
        <w:rPr>
          <w:rFonts w:hint="default" w:ascii="Times New Roman" w:hAnsi="Times New Roman" w:eastAsia="仿宋" w:cs="Times New Roman"/>
          <w:color w:val="auto"/>
          <w:sz w:val="32"/>
          <w:szCs w:val="32"/>
        </w:rPr>
        <w:t>辆，其他用车主要是</w:t>
      </w:r>
      <w:r>
        <w:rPr>
          <w:rFonts w:hint="default" w:ascii="Times New Roman" w:hAnsi="Times New Roman" w:eastAsia="仿宋_GB2312" w:cs="Times New Roman"/>
          <w:color w:val="auto"/>
          <w:kern w:val="0"/>
          <w:sz w:val="32"/>
          <w:szCs w:val="32"/>
          <w:u w:val="single"/>
          <w:lang w:eastAsia="zh-CN"/>
        </w:rPr>
        <w:t>日常出差</w:t>
      </w:r>
      <w:r>
        <w:rPr>
          <w:rFonts w:hint="default" w:ascii="Times New Roman" w:hAnsi="Times New Roman" w:eastAsia="仿宋" w:cs="Times New Roman"/>
          <w:color w:val="auto"/>
          <w:sz w:val="32"/>
          <w:szCs w:val="32"/>
        </w:rPr>
        <w:t>用途的车辆。</w:t>
      </w:r>
    </w:p>
    <w:p w14:paraId="2EBB2BB0">
      <w:pPr>
        <w:spacing w:line="588" w:lineRule="exact"/>
        <w:ind w:firstLine="640" w:firstLineChars="200"/>
        <w:rPr>
          <w:rFonts w:hint="default" w:ascii="Times New Roman" w:hAnsi="Times New Roman" w:eastAsia="仿宋" w:cs="Times New Roman"/>
          <w:b/>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2025</w:t>
      </w:r>
      <w:r>
        <w:rPr>
          <w:rFonts w:hint="default" w:ascii="Times New Roman" w:hAnsi="Times New Roman" w:eastAsia="楷体" w:cs="Times New Roman"/>
          <w:color w:val="auto"/>
          <w:sz w:val="32"/>
          <w:szCs w:val="32"/>
        </w:rPr>
        <w:t>年预算绩效情况说明。</w:t>
      </w:r>
    </w:p>
    <w:p w14:paraId="6633F396">
      <w:pPr>
        <w:spacing w:line="58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2025</w:t>
      </w:r>
      <w:r>
        <w:rPr>
          <w:rFonts w:hint="default" w:ascii="Times New Roman" w:hAnsi="Times New Roman" w:eastAsia="仿宋" w:cs="Times New Roman"/>
          <w:color w:val="auto"/>
          <w:sz w:val="32"/>
          <w:szCs w:val="32"/>
        </w:rPr>
        <w:t>年实现财政支出绩效目标管理全覆盖，实行绩效目标管理</w:t>
      </w:r>
      <w:r>
        <w:rPr>
          <w:rFonts w:hint="eastAsia" w:eastAsia="仿宋_GB2312" w:cs="Times New Roman"/>
          <w:color w:val="auto"/>
          <w:kern w:val="0"/>
          <w:sz w:val="32"/>
          <w:szCs w:val="32"/>
          <w:u w:val="single"/>
          <w:lang w:val="en-US" w:eastAsia="zh-CN"/>
        </w:rPr>
        <w:t>6</w:t>
      </w:r>
      <w:r>
        <w:rPr>
          <w:rFonts w:hint="default" w:ascii="Times New Roman" w:hAnsi="Times New Roman" w:eastAsia="仿宋" w:cs="Times New Roman"/>
          <w:color w:val="auto"/>
          <w:sz w:val="32"/>
          <w:szCs w:val="32"/>
        </w:rPr>
        <w:t>个，资金</w:t>
      </w:r>
      <w:r>
        <w:rPr>
          <w:rFonts w:hint="eastAsia" w:eastAsia="仿宋_GB2312" w:cs="Times New Roman"/>
          <w:color w:val="auto"/>
          <w:kern w:val="0"/>
          <w:sz w:val="32"/>
          <w:szCs w:val="32"/>
          <w:u w:val="single"/>
          <w:lang w:val="en-US" w:eastAsia="zh-CN"/>
        </w:rPr>
        <w:t>358.64</w:t>
      </w:r>
      <w:r>
        <w:rPr>
          <w:rFonts w:hint="default" w:ascii="Times New Roman" w:hAnsi="Times New Roman" w:eastAsia="仿宋" w:cs="Times New Roman"/>
          <w:color w:val="auto"/>
          <w:sz w:val="32"/>
          <w:szCs w:val="32"/>
        </w:rPr>
        <w:t>万元，其中：中央转移支付资金</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万元，地方资金</w:t>
      </w:r>
      <w:r>
        <w:rPr>
          <w:rFonts w:hint="eastAsia" w:eastAsia="仿宋_GB2312" w:cs="Times New Roman"/>
          <w:color w:val="auto"/>
          <w:kern w:val="0"/>
          <w:sz w:val="32"/>
          <w:szCs w:val="32"/>
          <w:u w:val="single"/>
          <w:lang w:val="en-US" w:eastAsia="zh-CN"/>
        </w:rPr>
        <w:t>358.64</w:t>
      </w:r>
      <w:r>
        <w:rPr>
          <w:rFonts w:hint="default" w:ascii="Times New Roman" w:hAnsi="Times New Roman" w:eastAsia="仿宋" w:cs="Times New Roman"/>
          <w:color w:val="auto"/>
          <w:sz w:val="32"/>
          <w:szCs w:val="32"/>
        </w:rPr>
        <w:t>万元。重点项目（见名词解释）实行绩效目标管理</w:t>
      </w:r>
      <w:r>
        <w:rPr>
          <w:rFonts w:hint="eastAsia" w:eastAsia="仿宋_GB2312" w:cs="Times New Roman"/>
          <w:color w:val="auto"/>
          <w:kern w:val="0"/>
          <w:sz w:val="32"/>
          <w:szCs w:val="32"/>
          <w:u w:val="single"/>
          <w:lang w:val="en-US" w:eastAsia="zh-CN"/>
        </w:rPr>
        <w:t>1</w:t>
      </w:r>
      <w:r>
        <w:rPr>
          <w:rFonts w:hint="default" w:ascii="Times New Roman" w:hAnsi="Times New Roman" w:eastAsia="仿宋" w:cs="Times New Roman"/>
          <w:color w:val="auto"/>
          <w:sz w:val="32"/>
          <w:szCs w:val="32"/>
        </w:rPr>
        <w:t>个，分别是（项目名称</w:t>
      </w:r>
      <w:r>
        <w:rPr>
          <w:rFonts w:hint="default" w:ascii="Times New Roman" w:hAnsi="Times New Roman" w:eastAsia="仿宋_GB2312" w:cs="Times New Roman"/>
          <w:color w:val="auto"/>
          <w:kern w:val="0"/>
          <w:sz w:val="32"/>
          <w:szCs w:val="32"/>
          <w:u w:val="single"/>
          <w:lang w:eastAsia="zh-CN"/>
        </w:rPr>
        <w:t>政府购买服务</w:t>
      </w:r>
      <w:r>
        <w:rPr>
          <w:rFonts w:hint="default" w:ascii="Times New Roman" w:hAnsi="Times New Roman" w:eastAsia="仿宋" w:cs="Times New Roman"/>
          <w:color w:val="auto"/>
          <w:sz w:val="32"/>
          <w:szCs w:val="32"/>
        </w:rPr>
        <w:t>，资金</w:t>
      </w:r>
      <w:r>
        <w:rPr>
          <w:rFonts w:hint="eastAsia" w:eastAsia="仿宋_GB2312" w:cs="Times New Roman"/>
          <w:color w:val="auto"/>
          <w:kern w:val="0"/>
          <w:sz w:val="32"/>
          <w:szCs w:val="32"/>
          <w:u w:val="single"/>
          <w:lang w:val="en-US" w:eastAsia="zh-CN"/>
        </w:rPr>
        <w:t>1</w:t>
      </w:r>
      <w:r>
        <w:rPr>
          <w:rFonts w:hint="default" w:ascii="Times New Roman" w:hAnsi="Times New Roman" w:eastAsia="仿宋_GB2312" w:cs="Times New Roman"/>
          <w:color w:val="auto"/>
          <w:kern w:val="0"/>
          <w:sz w:val="32"/>
          <w:szCs w:val="32"/>
          <w:u w:val="single"/>
          <w:lang w:val="en-US" w:eastAsia="zh-CN"/>
        </w:rPr>
        <w:t>00</w:t>
      </w:r>
      <w:r>
        <w:rPr>
          <w:rFonts w:hint="default" w:ascii="Times New Roman" w:hAnsi="Times New Roman" w:eastAsia="仿宋" w:cs="Times New Roman"/>
          <w:color w:val="auto"/>
          <w:sz w:val="32"/>
          <w:szCs w:val="32"/>
        </w:rPr>
        <w:t>万元</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占年初项目支出预算总额的</w:t>
      </w:r>
      <w:r>
        <w:rPr>
          <w:rFonts w:hint="eastAsia" w:eastAsia="仿宋_GB2312" w:cs="Times New Roman"/>
          <w:color w:val="auto"/>
          <w:kern w:val="0"/>
          <w:sz w:val="32"/>
          <w:szCs w:val="32"/>
          <w:u w:val="single"/>
          <w:lang w:val="en-US" w:eastAsia="zh-CN"/>
        </w:rPr>
        <w:t>6.34</w:t>
      </w:r>
      <w:r>
        <w:rPr>
          <w:rFonts w:hint="default" w:ascii="Times New Roman" w:hAnsi="Times New Roman" w:eastAsia="仿宋" w:cs="Times New Roman"/>
          <w:color w:val="auto"/>
          <w:sz w:val="32"/>
          <w:szCs w:val="32"/>
        </w:rPr>
        <w:t>%。</w:t>
      </w:r>
    </w:p>
    <w:p w14:paraId="01A1B0E7">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四</w:t>
      </w:r>
      <w:r>
        <w:rPr>
          <w:rFonts w:hint="default" w:ascii="Times New Roman" w:hAnsi="Times New Roman" w:eastAsia="楷体" w:cs="Times New Roman"/>
          <w:color w:val="auto"/>
          <w:sz w:val="32"/>
          <w:szCs w:val="32"/>
        </w:rPr>
        <w:t>）扶贫资金管理使用情况及绩效目标情况说明。</w:t>
      </w:r>
    </w:p>
    <w:p w14:paraId="3379F792">
      <w:pPr>
        <w:ind w:firstLine="960" w:firstLineChars="300"/>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无</w:t>
      </w:r>
    </w:p>
    <w:p w14:paraId="44D18D0F">
      <w:pPr>
        <w:numPr>
          <w:ilvl w:val="0"/>
          <w:numId w:val="0"/>
        </w:num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（五）</w:t>
      </w:r>
      <w:r>
        <w:rPr>
          <w:rFonts w:hint="default" w:ascii="Times New Roman" w:hAnsi="Times New Roman" w:eastAsia="楷体" w:cs="Times New Roman"/>
          <w:color w:val="auto"/>
          <w:sz w:val="32"/>
          <w:szCs w:val="32"/>
        </w:rPr>
        <w:t>政府债务情况。</w:t>
      </w:r>
    </w:p>
    <w:p w14:paraId="07FBC77A">
      <w:pPr>
        <w:numPr>
          <w:ilvl w:val="0"/>
          <w:numId w:val="0"/>
        </w:numPr>
        <w:ind w:firstLine="960" w:firstLineChars="300"/>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我单位无债务。</w:t>
      </w:r>
      <w:bookmarkStart w:id="0" w:name="_GoBack"/>
      <w:bookmarkEnd w:id="0"/>
    </w:p>
    <w:p w14:paraId="435EFBBF">
      <w:pPr>
        <w:rPr>
          <w:rFonts w:hint="default" w:ascii="Times New Roman" w:hAnsi="Times New Roman" w:eastAsia="仿宋" w:cs="Times New Roman"/>
          <w:color w:val="auto"/>
          <w:sz w:val="32"/>
          <w:szCs w:val="32"/>
        </w:rPr>
      </w:pPr>
    </w:p>
    <w:p w14:paraId="341C5BF4">
      <w:pPr>
        <w:rPr>
          <w:rFonts w:hint="default" w:ascii="Times New Roman" w:hAnsi="Times New Roman" w:eastAsia="仿宋" w:cs="Times New Roman"/>
          <w:color w:val="auto"/>
          <w:sz w:val="32"/>
          <w:szCs w:val="32"/>
        </w:rPr>
      </w:pPr>
    </w:p>
    <w:p w14:paraId="60D225BD">
      <w:pPr>
        <w:rPr>
          <w:rFonts w:hint="default" w:ascii="Times New Roman" w:hAnsi="Times New Roman" w:eastAsia="仿宋" w:cs="Times New Roman"/>
          <w:color w:val="auto"/>
          <w:sz w:val="32"/>
          <w:szCs w:val="32"/>
        </w:rPr>
      </w:pPr>
    </w:p>
    <w:p w14:paraId="51505BD6">
      <w:pPr>
        <w:rPr>
          <w:rFonts w:hint="default" w:ascii="Times New Roman" w:hAnsi="Times New Roman" w:eastAsia="仿宋" w:cs="Times New Roman"/>
          <w:color w:val="auto"/>
          <w:sz w:val="32"/>
          <w:szCs w:val="32"/>
        </w:rPr>
      </w:pPr>
    </w:p>
    <w:p w14:paraId="2ECE1826">
      <w:pPr>
        <w:rPr>
          <w:rFonts w:hint="default" w:ascii="Times New Roman" w:hAnsi="Times New Roman" w:eastAsia="仿宋" w:cs="Times New Roman"/>
          <w:color w:val="auto"/>
          <w:sz w:val="32"/>
          <w:szCs w:val="32"/>
        </w:rPr>
      </w:pPr>
    </w:p>
    <w:p w14:paraId="51CCD4AA">
      <w:pPr>
        <w:rPr>
          <w:rFonts w:hint="default" w:ascii="Times New Roman" w:hAnsi="Times New Roman" w:eastAsia="仿宋" w:cs="Times New Roman"/>
          <w:color w:val="auto"/>
          <w:sz w:val="32"/>
          <w:szCs w:val="32"/>
        </w:rPr>
      </w:pPr>
    </w:p>
    <w:p w14:paraId="4AE17627">
      <w:pPr>
        <w:jc w:val="both"/>
        <w:rPr>
          <w:rFonts w:hint="default" w:ascii="Times New Roman" w:hAnsi="Times New Roman" w:eastAsia="方正小标宋简体" w:cs="Times New Roman"/>
          <w:color w:val="auto"/>
          <w:sz w:val="32"/>
          <w:szCs w:val="32"/>
        </w:rPr>
      </w:pPr>
    </w:p>
    <w:p w14:paraId="253B3DD6">
      <w:pPr>
        <w:jc w:val="center"/>
        <w:rPr>
          <w:rFonts w:hint="default" w:ascii="Times New Roman" w:hAnsi="Times New Roman" w:eastAsia="方正小标宋简体" w:cs="Times New Roman"/>
          <w:color w:val="auto"/>
          <w:sz w:val="32"/>
          <w:szCs w:val="32"/>
        </w:rPr>
      </w:pPr>
    </w:p>
    <w:p w14:paraId="49737771">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第四部分</w:t>
      </w:r>
    </w:p>
    <w:p w14:paraId="3C4D920A">
      <w:pPr>
        <w:jc w:val="center"/>
        <w:rPr>
          <w:rFonts w:hint="default" w:ascii="Times New Roman" w:hAnsi="Times New Roman" w:eastAsia="仿宋" w:cs="Times New Roman"/>
          <w:color w:val="auto"/>
          <w:sz w:val="32"/>
          <w:szCs w:val="32"/>
        </w:rPr>
      </w:pPr>
      <w:r>
        <w:rPr>
          <w:rFonts w:hint="default" w:ascii="Times New Roman" w:hAnsi="Times New Roman" w:eastAsia="方正小标宋简体" w:cs="Times New Roman"/>
          <w:color w:val="auto"/>
          <w:sz w:val="32"/>
          <w:szCs w:val="32"/>
        </w:rPr>
        <w:t>名词解释</w:t>
      </w:r>
    </w:p>
    <w:p w14:paraId="1DA319A1">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一、财政拨款收入：</w:t>
      </w:r>
      <w:r>
        <w:rPr>
          <w:rFonts w:hint="default" w:ascii="Times New Roman" w:hAnsi="Times New Roman" w:eastAsia="仿宋" w:cs="Times New Roman"/>
          <w:color w:val="auto"/>
          <w:sz w:val="32"/>
          <w:szCs w:val="32"/>
        </w:rPr>
        <w:t>本级财政部门当年拨付的财政预算资金，包括一般公共预算财政拨款、政府性基金预算财政拨款和国资预算财政拨款。</w:t>
      </w:r>
    </w:p>
    <w:p w14:paraId="3CE51401">
      <w:pPr>
        <w:spacing w:line="58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、机关运行经费：</w:t>
      </w:r>
      <w:r>
        <w:rPr>
          <w:rFonts w:hint="default" w:ascii="Times New Roman" w:hAnsi="Times New Roman" w:eastAsia="仿宋" w:cs="Times New Roman"/>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6479BBD">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五、其他收入：</w:t>
      </w:r>
      <w:r>
        <w:rPr>
          <w:rFonts w:hint="default" w:ascii="Times New Roman" w:hAnsi="Times New Roman" w:eastAsia="仿宋" w:cs="Times New Roman"/>
          <w:color w:val="auto"/>
          <w:sz w:val="32"/>
          <w:szCs w:val="32"/>
        </w:rPr>
        <w:t>指除上述“一般公共预算拨款收入”、“事业收入”、“事业单位经营收入”等以外的收入。主要是按规定动用的售房收入、存款利息收入等。</w:t>
      </w:r>
    </w:p>
    <w:p w14:paraId="68E1AA86">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六、上年结转：</w:t>
      </w:r>
      <w:r>
        <w:rPr>
          <w:rFonts w:hint="default" w:ascii="Times New Roman" w:hAnsi="Times New Roman" w:eastAsia="仿宋" w:cs="Times New Roman"/>
          <w:color w:val="auto"/>
          <w:sz w:val="32"/>
          <w:szCs w:val="32"/>
        </w:rPr>
        <w:t>指以前年度安排、结转到本年仍按原规定用途继续使用的资金。</w:t>
      </w:r>
    </w:p>
    <w:p w14:paraId="312DAC4E">
      <w:pPr>
        <w:spacing w:line="58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七、重点项目：</w:t>
      </w:r>
      <w:r>
        <w:rPr>
          <w:rFonts w:hint="default" w:ascii="Times New Roman" w:hAnsi="Times New Roman" w:eastAsia="仿宋" w:cs="Times New Roman"/>
          <w:color w:val="auto"/>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6F72D67F">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sz w:val="32"/>
          <w:szCs w:val="32"/>
        </w:rPr>
        <w:t>八、基本支出：</w:t>
      </w:r>
      <w:r>
        <w:rPr>
          <w:rFonts w:hint="default" w:ascii="Times New Roman" w:hAnsi="Times New Roman" w:eastAsia="仿宋" w:cs="Times New Roman"/>
          <w:color w:val="auto"/>
          <w:sz w:val="32"/>
          <w:szCs w:val="32"/>
        </w:rPr>
        <w:t>指为保障机构正常运转、完成日常工作任务而发生的人员支出和公用支出。</w:t>
      </w:r>
    </w:p>
    <w:p w14:paraId="2C5ACFF8">
      <w:pPr>
        <w:autoSpaceDE w:val="0"/>
        <w:autoSpaceDN w:val="0"/>
        <w:adjustRightInd w:val="0"/>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九、项目支出：</w:t>
      </w:r>
      <w:r>
        <w:rPr>
          <w:rFonts w:hint="default" w:ascii="Times New Roman" w:hAnsi="Times New Roman" w:eastAsia="仿宋" w:cs="Times New Roman"/>
          <w:color w:val="auto"/>
          <w:sz w:val="32"/>
          <w:szCs w:val="32"/>
        </w:rPr>
        <w:t>指在基本支出之外为完成特定行政任务或事业发展目标所发生的支出。</w:t>
      </w:r>
    </w:p>
    <w:p w14:paraId="72CC4DCC">
      <w:pPr>
        <w:autoSpaceDE w:val="0"/>
        <w:autoSpaceDN w:val="0"/>
        <w:adjustRightInd w:val="0"/>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十、“三公”经费：</w:t>
      </w:r>
      <w:r>
        <w:rPr>
          <w:rFonts w:hint="default" w:ascii="Times New Roman" w:hAnsi="Times New Roman" w:eastAsia="仿宋" w:cs="Times New Roman"/>
          <w:color w:val="auto"/>
          <w:sz w:val="32"/>
          <w:szCs w:val="32"/>
        </w:rPr>
        <w:t>是指安排的因公出国（境）费、公务用车购置及运行维护费和公务接待费。</w:t>
      </w:r>
    </w:p>
    <w:p w14:paraId="1D847651">
      <w:pPr>
        <w:rPr>
          <w:rFonts w:hint="default" w:ascii="Times New Roman" w:hAnsi="Times New Roman" w:eastAsia="仿宋" w:cs="Times New Roman"/>
          <w:color w:val="auto"/>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5BC4">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430F443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E680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7EF3E4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F48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OTJhMWM2ZWY5NTc0OTkxZWY1YjVjNjZkMGQ0Nj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27CB1"/>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37A8F"/>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143C"/>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753E85"/>
    <w:rsid w:val="029702A0"/>
    <w:rsid w:val="040C25C7"/>
    <w:rsid w:val="06071298"/>
    <w:rsid w:val="06231E4A"/>
    <w:rsid w:val="068154EF"/>
    <w:rsid w:val="068A3C77"/>
    <w:rsid w:val="071F6AB6"/>
    <w:rsid w:val="079E3E7E"/>
    <w:rsid w:val="097F1A8E"/>
    <w:rsid w:val="098175B4"/>
    <w:rsid w:val="0A570314"/>
    <w:rsid w:val="0A7273EF"/>
    <w:rsid w:val="0AB1211B"/>
    <w:rsid w:val="0AFF56E0"/>
    <w:rsid w:val="0C8E262A"/>
    <w:rsid w:val="0CAF268A"/>
    <w:rsid w:val="0D132C19"/>
    <w:rsid w:val="0D9F625A"/>
    <w:rsid w:val="0DD73C46"/>
    <w:rsid w:val="0DF3765A"/>
    <w:rsid w:val="0E341099"/>
    <w:rsid w:val="11447845"/>
    <w:rsid w:val="128C4C9F"/>
    <w:rsid w:val="12A367ED"/>
    <w:rsid w:val="12EA441C"/>
    <w:rsid w:val="154F76F7"/>
    <w:rsid w:val="15744470"/>
    <w:rsid w:val="15CF3FDF"/>
    <w:rsid w:val="16BA6E67"/>
    <w:rsid w:val="1925050E"/>
    <w:rsid w:val="19436634"/>
    <w:rsid w:val="195425EF"/>
    <w:rsid w:val="19AD7F51"/>
    <w:rsid w:val="1C250273"/>
    <w:rsid w:val="1CE7377A"/>
    <w:rsid w:val="1F7E6617"/>
    <w:rsid w:val="1FA85442"/>
    <w:rsid w:val="20A13B90"/>
    <w:rsid w:val="20DD08EE"/>
    <w:rsid w:val="211920B3"/>
    <w:rsid w:val="21E604A4"/>
    <w:rsid w:val="22A26FA5"/>
    <w:rsid w:val="22A83F6B"/>
    <w:rsid w:val="22F866E1"/>
    <w:rsid w:val="23977CA8"/>
    <w:rsid w:val="252437BD"/>
    <w:rsid w:val="2551032A"/>
    <w:rsid w:val="263537A8"/>
    <w:rsid w:val="275639D6"/>
    <w:rsid w:val="27A00D07"/>
    <w:rsid w:val="284B72B3"/>
    <w:rsid w:val="2A0059A5"/>
    <w:rsid w:val="2A8D5961"/>
    <w:rsid w:val="2B093556"/>
    <w:rsid w:val="2B636565"/>
    <w:rsid w:val="2B69017C"/>
    <w:rsid w:val="2BB51B50"/>
    <w:rsid w:val="2E894691"/>
    <w:rsid w:val="30FF50DE"/>
    <w:rsid w:val="32BD2B5B"/>
    <w:rsid w:val="33F20F2A"/>
    <w:rsid w:val="34180991"/>
    <w:rsid w:val="34EE34A0"/>
    <w:rsid w:val="36172DC9"/>
    <w:rsid w:val="37C25E6D"/>
    <w:rsid w:val="37FE7BD3"/>
    <w:rsid w:val="38121F41"/>
    <w:rsid w:val="38B62526"/>
    <w:rsid w:val="3A3E6C77"/>
    <w:rsid w:val="3A920D71"/>
    <w:rsid w:val="3B64270E"/>
    <w:rsid w:val="3B9B5A04"/>
    <w:rsid w:val="3C616C4D"/>
    <w:rsid w:val="3CFE26EE"/>
    <w:rsid w:val="3D4B6801"/>
    <w:rsid w:val="3D9A3BA1"/>
    <w:rsid w:val="3FE91433"/>
    <w:rsid w:val="3FEA1771"/>
    <w:rsid w:val="42A67168"/>
    <w:rsid w:val="42FF46BD"/>
    <w:rsid w:val="44663053"/>
    <w:rsid w:val="44AC55BD"/>
    <w:rsid w:val="44B908F2"/>
    <w:rsid w:val="45667082"/>
    <w:rsid w:val="47B95B8F"/>
    <w:rsid w:val="47C702AC"/>
    <w:rsid w:val="47D46525"/>
    <w:rsid w:val="47F866B8"/>
    <w:rsid w:val="4A161077"/>
    <w:rsid w:val="4BD84549"/>
    <w:rsid w:val="4C942727"/>
    <w:rsid w:val="4CCE5C39"/>
    <w:rsid w:val="4D3F26E1"/>
    <w:rsid w:val="4E41068C"/>
    <w:rsid w:val="4E9E4EE6"/>
    <w:rsid w:val="514512E7"/>
    <w:rsid w:val="52B15DE1"/>
    <w:rsid w:val="54914F25"/>
    <w:rsid w:val="55FC3817"/>
    <w:rsid w:val="58D97E3F"/>
    <w:rsid w:val="5919648E"/>
    <w:rsid w:val="5A7B6CD4"/>
    <w:rsid w:val="5ABF4E13"/>
    <w:rsid w:val="5B441F8C"/>
    <w:rsid w:val="5B6360E6"/>
    <w:rsid w:val="5E413D91"/>
    <w:rsid w:val="5F1871E8"/>
    <w:rsid w:val="5F85487D"/>
    <w:rsid w:val="606D70BF"/>
    <w:rsid w:val="60805044"/>
    <w:rsid w:val="651D5558"/>
    <w:rsid w:val="664D59C9"/>
    <w:rsid w:val="67A535E2"/>
    <w:rsid w:val="688F051A"/>
    <w:rsid w:val="69B30239"/>
    <w:rsid w:val="6ACD3601"/>
    <w:rsid w:val="6AFB3C45"/>
    <w:rsid w:val="6B113469"/>
    <w:rsid w:val="6B282560"/>
    <w:rsid w:val="6EAE5472"/>
    <w:rsid w:val="6F4F68E3"/>
    <w:rsid w:val="6F7C2046"/>
    <w:rsid w:val="6FA32699"/>
    <w:rsid w:val="706C1141"/>
    <w:rsid w:val="70B52AE8"/>
    <w:rsid w:val="71FD64F5"/>
    <w:rsid w:val="76EA1012"/>
    <w:rsid w:val="79D00993"/>
    <w:rsid w:val="79DD09BA"/>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707</Words>
  <Characters>4031</Characters>
  <Lines>33</Lines>
  <Paragraphs>9</Paragraphs>
  <TotalTime>18</TotalTime>
  <ScaleCrop>false</ScaleCrop>
  <LinksUpToDate>false</LinksUpToDate>
  <CharactersWithSpaces>4729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2025-02-20T13:53:49Z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09C1255170984A21A4606E5BC25EC022_12</vt:lpwstr>
  </property>
</Properties>
</file>