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73B5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尼玛县</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发展改革和经信商务局</w:t>
      </w:r>
      <w:bookmarkStart w:id="0" w:name="_GoBack"/>
      <w:bookmarkEnd w:id="0"/>
      <w:r>
        <w:rPr>
          <w:rFonts w:hint="default" w:ascii="Times New Roman" w:hAnsi="Times New Roman" w:eastAsia="方正小标宋简体" w:cs="Times New Roman"/>
          <w:color w:val="000000" w:themeColor="text1"/>
          <w:sz w:val="44"/>
          <w:szCs w:val="44"/>
          <w14:textFill>
            <w14:solidFill>
              <w14:schemeClr w14:val="tx1"/>
            </w14:solidFill>
          </w14:textFill>
        </w:rPr>
        <w:t>2024年度法治政府建设情况报告</w:t>
      </w:r>
    </w:p>
    <w:p w14:paraId="35FF0E2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14:paraId="0FEEF615">
      <w:pPr>
        <w:keepNext w:val="0"/>
        <w:keepLines w:val="0"/>
        <w:pageBreakBefore w:val="0"/>
        <w:widowControl w:val="0"/>
        <w:tabs>
          <w:tab w:val="left" w:pos="4830"/>
        </w:tabs>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2024年，尼玛县发展改革和经信商务局坚持以习近平新时代中国特色社会主义思想为指导，认真贯彻落实习近平法治思想，认真落实党的二十大和二十届三中全会精神，推进法治政府建设各项工作，取得了积极成效。现将有关工作报告如下：</w:t>
      </w:r>
    </w:p>
    <w:p w14:paraId="3F56B3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t>一、2024年法治政府建设主要举措和成效</w:t>
      </w:r>
    </w:p>
    <w:p w14:paraId="7D326B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（一）强化理论学习，加强法治政府建设</w:t>
      </w:r>
    </w:p>
    <w:p w14:paraId="3F3CDA3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加强组织领导。局党组高度重视法治政府建设工作，局主要负责人认真履行推进法治政府建设第一责任人职责，对法治建设重要工作亲自部署、重大问题亲自过问、重要环节亲自协调、重要任务亲自督办，定期听取有关工作汇报，及时研究解决普法工作中出现的新情况、新问题，确保法治建设工作落实落细。</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强化理论学习。把习近平法治思想作为重要学习内容，开展《中华人民共和国宪法》《中华人民共和国民法典》《中华人民共和国统计法》等法律规章学习，不断提高干部职工运用法治思维和法治方式深化改革、推动发展的能力。2024年度共开展法治学习6次。作为奋战在经济一线的工作者，我们必须带头尊法学法守法用法，以实际行动维护宪法和法律权威，做社会主义法治的忠实崇尚者、自觉遵守者、坚定捍卫者。</w:t>
      </w:r>
    </w:p>
    <w:p w14:paraId="4BD123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（二）提升服务效能，优化法治营商环境</w:t>
      </w:r>
    </w:p>
    <w:p w14:paraId="26D292B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完善信用体系。大力推进社会信用体系建设，开展</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屡禁不止、屡罚不改</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严重违法失信行为市场治理，督促企业信用修复和信用自检，统筹使用国家公共信用综合评估、行业信用评价和市场信用评价结果，</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依法依规使用信用数据管理系统。</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强化监督执法。按照</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应审尽审、应批尽批</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的原则，及时为项目行业主管部门审批审核项目，在为第三方公司审核合同时，及时提出修改指导意见，避免第三方公司粗心大意，导致合同不完善。</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三是</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主</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动创稳，化解涉稳风险隐患问题。及时排查本领域风险隐患问题，全力做好职责范围内的信访稳控工作。2024年化解信访案件7件，积极解决人民群众“急难愁盼”问题。</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加强民生价格监管。每月联合市场监督管理局前往农贸市场、超市等对重要民生商品价格监督检查，并填报西藏价格监测预警平台，并开展保供稳价的宣传，同时开展能源领域和粮食领域安全隐患排查工作，并多次协助市级完成粮食抽样检测。</w:t>
      </w:r>
    </w:p>
    <w:p w14:paraId="0C0F382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（三）严格学法用法，依规依法履职</w:t>
      </w:r>
    </w:p>
    <w:p w14:paraId="726823A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加强执法队伍建设，积极组织干部职工参加执法培训考试，严格按程序申领执法证，推进行政执法责任制落实，认真做好行政执法平台执法人员信息维护工作，对执法证件进行年审，进一步规范执法行为，提高执法水平。</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规范行政权力运行，提升依法治理能力坚持法定职责必须为、法无授权不可为，以</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三定方案</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为依据，结合职能职责与单位实际，建立岗位与法治相结合，推动业务与法制深度融合，切实做到</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权从法来、事由法定、人必依法、岗必依法</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，把发改系统的行政行为全面纳入法治轨道。</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落实普法责任。严格落实</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谁执法谁普法</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制度，围绕</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法治宣传日</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和</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粮食安全宣传周</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等重要节点，广泛开展《平安建设条例》《中华人民共和国粮食安全保障法》《中华人民共和国统计法》《中华人民共和国价格法》《粮食质量安全监管办法》和《企业投资项目核准和备案管理条例》等法律法规的宣传，进一步增强社会公众对</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发展改革和经信商务局</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领域法律法规知识的认识。</w:t>
      </w:r>
    </w:p>
    <w:p w14:paraId="0E3D7C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t>二、2024年法治政府建设存在问题与不足</w:t>
      </w:r>
    </w:p>
    <w:p w14:paraId="510A12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2024年度，我局法治政府建设工作虽然取得了一定的成绩，但仍存在不足：</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部分工作人员法治观念还不够强，运用法治思维和法治方式解决问题的能力还有待提高</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法治宣传教育形式还不够新，面对新形势新问题，普法宣传形式还相对单一，普法效果还不够明显。</w:t>
      </w:r>
    </w:p>
    <w:p w14:paraId="79B207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t>三、2024年主要负责同志履行推进法治政府建设第一责任人职责情况</w:t>
      </w:r>
    </w:p>
    <w:p w14:paraId="65D44B8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我局主要负责人认真履行推进法治建设第一责任人职责，坚持以身作则、以上率下，自觉运用法治思维和法治方式想问题、作决策、办事情，带头抓好推进法治政府建设各项工作。</w:t>
      </w:r>
    </w:p>
    <w:p w14:paraId="6D63109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切实加强领导，保障法治建设要素。认真落实《党政主要负责人履行推进法治建设第一责任人职责规定》，亲自研究部署重点工作，全面理清部门法定职责和依据，保障法治建设工作有序开展。</w:t>
      </w:r>
    </w:p>
    <w:p w14:paraId="76088E6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坚持科学决策，提升行政决策水平。严格执行</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三重一大</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集体决策制度，落实重大行政决策法定程序，加大合法性审核力度，在重点领域政策制定中，多次组织专题会研究政策内容。</w:t>
      </w:r>
    </w:p>
    <w:p w14:paraId="3DA3B60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发挥</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头雁</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作用，推动法治宣传教育。带头尊法学法守法用法，制定</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谁执法谁普法</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普法培训计划，细化普法教育责任清单，明确学习内容，丰富学法知识，确保各项法治工作稳定推进。定期组织党组中心组学习、主题教育学习、专题法治培训，切实增强干部职工贯彻落实法治建设重大决策部署的思想自觉和行动自觉。</w:t>
      </w:r>
    </w:p>
    <w:p w14:paraId="2343DD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lang w:val="en-US" w:eastAsia="zh-CN"/>
          <w14:textFill>
            <w14:solidFill>
              <w14:schemeClr w14:val="tx1"/>
            </w14:solidFill>
          </w14:textFill>
        </w:rPr>
        <w:t>四、2025年法治政府建设工作计划</w:t>
      </w:r>
    </w:p>
    <w:p w14:paraId="1B1FA3B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楷体简体"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进一步加强法律知识学习。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坚持以习近平新时代中国特色社会主义思想为指导，深入学习贯彻党的二十大精神和习近平法治思想，加强《中华人民共和国宪法》《中华人民共和国民法典》和党内法规等重点法律法规的学习宣传，切实把习近平法治思想贯彻落实</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到</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工作的全过程。</w:t>
      </w:r>
    </w:p>
    <w:p w14:paraId="5F0A4C9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（二）加强法治政府建设领导。</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坚持以习近平法治思想为指导，始终把法治政府建设工作作为规范行政行为、改进工作作风、提高办事效率的中心环节，继续落实主要负责人履行推进法治建设第一责任人职责规定有关要求，完善主要领导亲自抓，层层抓落实的工作机制。</w:t>
      </w:r>
    </w:p>
    <w:p w14:paraId="18EE6D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（三）进一步加强干部队伍建设。</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严格落实学法普法和</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谁执法谁普法</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责任制，充分利用法治宣传日、世界粮食日、安全生产月等重要时间节点，线上线下齐发力，全面开展普法宣传，切实提升全局干部职工法治思维和依法行政能力。</w:t>
      </w:r>
    </w:p>
    <w:p w14:paraId="64A6F3C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（四）进一步规范依法行政工作水平。</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全面落实行政执法责任制，严格规范执法程序和执法行为，创新执法手段，建立健全公众参与、专家论证、合法性评估，重大决策集体讨论和决策公开等制度，加强规范性文件管理和公平竞争审查工作，严把合法性审核和公平竞争审查关。</w:t>
      </w:r>
    </w:p>
    <w:p w14:paraId="034BEE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（五）规范重大事项决策行为。</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将规范重大事项决策作为加强廉政风险防控的重要举措。做到重大决策采取风险评估、公平竞争审查、合法性审查制度，确保决策科学、程序正当、过程公开、责任明确。</w:t>
      </w:r>
    </w:p>
    <w:p w14:paraId="489230D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7322FE8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7057BC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49EFD2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发展改革和经信商务局</w:t>
      </w:r>
    </w:p>
    <w:p w14:paraId="70E98FE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2025年5月22日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9204">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4970780</wp:posOffset>
              </wp:positionH>
              <wp:positionV relativeFrom="paragraph">
                <wp:posOffset>-492125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911F0">
                          <w:pPr>
                            <w:pStyle w:val="2"/>
                            <w:rPr>
                              <w:rFonts w:hint="eastAsia" w:eastAsia="方正仿宋简体"/>
                              <w:lang w:val="en-US" w:eastAsia="zh-CN"/>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4pt;margin-top:-38.75pt;height:144pt;width:144pt;mso-position-horizontal-relative:margin;mso-wrap-style:none;z-index:251659264;mso-width-relative:page;mso-height-relative:page;" filled="f" stroked="f" coordsize="21600,21600" o:gfxdata="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vxxK9gAAAAM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54D911F0">
                    <w:pPr>
                      <w:pStyle w:val="2"/>
                      <w:rPr>
                        <w:rFonts w:hint="eastAsia" w:eastAsia="方正仿宋简体"/>
                        <w:lang w:val="en-US" w:eastAsia="zh-CN"/>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33041"/>
    <w:rsid w:val="26D00E91"/>
    <w:rsid w:val="322E0FB3"/>
    <w:rsid w:val="3E0A2E58"/>
    <w:rsid w:val="3E744A86"/>
    <w:rsid w:val="44DF70BA"/>
    <w:rsid w:val="52366F33"/>
    <w:rsid w:val="5C54188A"/>
    <w:rsid w:val="6F745542"/>
    <w:rsid w:val="79191251"/>
    <w:rsid w:val="7E6A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2443</Words>
  <Characters>2474</Characters>
  <Lines>0</Lines>
  <Paragraphs>0</Paragraphs>
  <TotalTime>0</TotalTime>
  <ScaleCrop>false</ScaleCrop>
  <LinksUpToDate>false</LinksUpToDate>
  <CharactersWithSpaces>2504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2025-05-22T02:25:00Z</dcterms:created>
  <dc:creator>Administrator</dc:creator>
  <cp:lastModifiedBy>龙渊</cp:lastModifiedBy>
  <cp:lastPrinted>2025-05-22T08:35:00Z</cp:lastPrinted>
  <dcterms:modified xsi:type="dcterms:W3CDTF">2025-05-23T04:27:08Z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eyJoZGlkIjoiMjM2MTYyMmVjYmYwMTY4MzM2NmMwZDE1MGQwZWU1YTUiLCJ1c2VySWQiOiI2ODIyNTc3MDEifQ==</vt:lpwstr>
  </property>
  <property fmtid="{D5CDD505-2E9C-101B-9397-08002B2CF9AE}" pid="4" name="ICV">
    <vt:lpwstr>01B811F42EF040A284D4B5C0FF2E8BB1_12</vt:lpwstr>
  </property>
</Properties>
</file>