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4D0CE">
      <w:pPr>
        <w:keepNext w:val="0"/>
        <w:keepLines w:val="0"/>
        <w:pageBreakBefore w:val="0"/>
        <w:widowControl w:val="0"/>
        <w:kinsoku/>
        <w:wordWrap/>
        <w:topLinePunct w:val="0"/>
        <w:autoSpaceDE/>
        <w:autoSpaceDN/>
        <w:bidi w:val="0"/>
        <w:adjustRightInd/>
        <w:snapToGrid/>
        <w:spacing w:line="576"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尼玛县</w:t>
      </w:r>
      <w:r>
        <w:rPr>
          <w:rFonts w:hint="default" w:ascii="Times New Roman" w:hAnsi="Times New Roman" w:eastAsia="方正小标宋简体" w:cs="Times New Roman"/>
          <w:sz w:val="44"/>
          <w:szCs w:val="44"/>
          <w:lang w:val="en-US" w:eastAsia="zh-CN"/>
        </w:rPr>
        <w:t>荣玛乡</w:t>
      </w:r>
      <w:r>
        <w:rPr>
          <w:rFonts w:hint="default" w:ascii="Times New Roman" w:hAnsi="Times New Roman" w:eastAsia="方正小标宋简体" w:cs="Times New Roman"/>
          <w:sz w:val="44"/>
          <w:szCs w:val="44"/>
        </w:rPr>
        <w:t>2024年度法治政府建设</w:t>
      </w:r>
    </w:p>
    <w:p w14:paraId="552C1A02">
      <w:pPr>
        <w:keepNext w:val="0"/>
        <w:keepLines w:val="0"/>
        <w:pageBreakBefore w:val="0"/>
        <w:widowControl w:val="0"/>
        <w:kinsoku/>
        <w:wordWrap/>
        <w:overflowPunct w:val="0"/>
        <w:topLinePunct w:val="0"/>
        <w:autoSpaceDE/>
        <w:autoSpaceDN/>
        <w:bidi w:val="0"/>
        <w:adjustRightInd/>
        <w:snapToGrid/>
        <w:spacing w:line="576" w:lineRule="exact"/>
        <w:ind w:firstLine="880" w:firstLineChars="20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情况报告</w:t>
      </w:r>
    </w:p>
    <w:p w14:paraId="62539CA8">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rPr>
      </w:pPr>
      <w:bookmarkStart w:id="0" w:name="_GoBack"/>
      <w:bookmarkEnd w:id="0"/>
    </w:p>
    <w:p w14:paraId="5DBB11A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2024年，尼玛县</w:t>
      </w:r>
      <w:r>
        <w:rPr>
          <w:rFonts w:hint="default" w:ascii="Times New Roman" w:hAnsi="Times New Roman" w:eastAsia="方正仿宋简体" w:cs="Times New Roman"/>
          <w:sz w:val="32"/>
          <w:szCs w:val="32"/>
          <w:lang w:val="en-US" w:eastAsia="zh-CN"/>
        </w:rPr>
        <w:t>荣玛乡</w:t>
      </w:r>
      <w:r>
        <w:rPr>
          <w:rFonts w:hint="default" w:ascii="Times New Roman" w:hAnsi="Times New Roman" w:eastAsia="方正仿宋简体" w:cs="Times New Roman"/>
          <w:sz w:val="32"/>
          <w:szCs w:val="32"/>
        </w:rPr>
        <w:t>坚持以习近平新时代中国特色社会主义思想为指导，认真贯彻</w:t>
      </w:r>
      <w:r>
        <w:rPr>
          <w:rFonts w:hint="default" w:ascii="Times New Roman" w:hAnsi="Times New Roman" w:eastAsia="方正仿宋简体" w:cs="Times New Roman"/>
          <w:sz w:val="32"/>
          <w:szCs w:val="32"/>
          <w:lang w:val="en-US" w:eastAsia="zh-CN"/>
        </w:rPr>
        <w:t>落实</w:t>
      </w:r>
      <w:r>
        <w:rPr>
          <w:rFonts w:hint="default" w:ascii="Times New Roman" w:hAnsi="Times New Roman" w:eastAsia="方正仿宋简体" w:cs="Times New Roman"/>
          <w:kern w:val="2"/>
          <w:sz w:val="32"/>
          <w:szCs w:val="32"/>
          <w:lang w:val="en-US" w:eastAsia="zh-CN" w:bidi="ar-SA"/>
        </w:rPr>
        <w:t>全面依法治国基本方略，不断提升治理体系和治理能力现代化水平，</w:t>
      </w:r>
      <w:r>
        <w:rPr>
          <w:rFonts w:hint="default" w:ascii="Times New Roman" w:hAnsi="Times New Roman" w:eastAsia="方正仿宋简体" w:cs="Times New Roman"/>
          <w:sz w:val="32"/>
          <w:szCs w:val="32"/>
        </w:rPr>
        <w:t>扎实推进法治政府建设各项工作，取得了积极成效</w:t>
      </w:r>
      <w:r>
        <w:rPr>
          <w:rFonts w:hint="default" w:ascii="Times New Roman" w:hAnsi="Times New Roman" w:eastAsia="方正仿宋简体" w:cs="Times New Roman"/>
          <w:sz w:val="32"/>
          <w:szCs w:val="32"/>
          <w:lang w:eastAsia="zh-CN"/>
        </w:rPr>
        <w:t>。</w:t>
      </w:r>
    </w:p>
    <w:p w14:paraId="244F9D2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一、2024年法治政府建设主要举措和成效</w:t>
      </w:r>
    </w:p>
    <w:p w14:paraId="7969B445">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eastAsia="zh-CN"/>
        </w:rPr>
        <w:t>）法律法规得到有效实施。</w:t>
      </w:r>
      <w:r>
        <w:rPr>
          <w:rFonts w:hint="default" w:ascii="Times New Roman" w:hAnsi="Times New Roman" w:eastAsia="方正仿宋简体" w:cs="Times New Roman"/>
          <w:sz w:val="32"/>
          <w:szCs w:val="32"/>
          <w:lang w:val="en-US" w:eastAsia="zh-CN"/>
        </w:rPr>
        <w:t>以3.28百万农奴解放日、3</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综治宣传月、4月法治宣传月、6月民法典宣传月、9.16平安宣传日、12.4宪法宣传周为契机</w:t>
      </w:r>
      <w:r>
        <w:rPr>
          <w:rFonts w:hint="default" w:ascii="Times New Roman" w:hAnsi="Times New Roman" w:eastAsia="方正仿宋简体" w:cs="Times New Roman"/>
          <w:sz w:val="32"/>
          <w:szCs w:val="32"/>
        </w:rPr>
        <w:t>，通过开展</w:t>
      </w:r>
      <w:r>
        <w:rPr>
          <w:rFonts w:hint="default" w:ascii="Times New Roman" w:hAnsi="Times New Roman" w:eastAsia="方正仿宋简体" w:cs="Times New Roman"/>
          <w:sz w:val="32"/>
          <w:szCs w:val="32"/>
          <w:lang w:val="en-US" w:eastAsia="zh-CN"/>
        </w:rPr>
        <w:t>形式多样的</w:t>
      </w:r>
      <w:r>
        <w:rPr>
          <w:rFonts w:hint="default" w:ascii="Times New Roman" w:hAnsi="Times New Roman" w:eastAsia="方正仿宋简体" w:cs="Times New Roman"/>
          <w:sz w:val="32"/>
          <w:szCs w:val="32"/>
        </w:rPr>
        <w:t>活动，</w:t>
      </w:r>
      <w:r>
        <w:rPr>
          <w:rFonts w:hint="default" w:ascii="Times New Roman" w:hAnsi="Times New Roman" w:eastAsia="方正仿宋简体" w:cs="Times New Roman"/>
          <w:sz w:val="32"/>
          <w:szCs w:val="32"/>
          <w:lang w:val="en-US" w:eastAsia="zh-CN"/>
        </w:rPr>
        <w:t>明确《</w:t>
      </w:r>
      <w:r>
        <w:rPr>
          <w:rFonts w:hint="eastAsia" w:ascii="Times New Roman" w:hAnsi="Times New Roman" w:eastAsia="方正仿宋简体" w:cs="Times New Roman"/>
          <w:sz w:val="32"/>
          <w:szCs w:val="32"/>
          <w:lang w:val="en-US" w:eastAsia="zh-CN"/>
        </w:rPr>
        <w:t>中华人民共和国民法典》《中华人民共和国刑法》《</w:t>
      </w:r>
      <w:r>
        <w:rPr>
          <w:rFonts w:hint="default" w:ascii="Times New Roman" w:hAnsi="Times New Roman" w:eastAsia="方正仿宋简体" w:cs="Times New Roman"/>
          <w:sz w:val="32"/>
          <w:szCs w:val="32"/>
          <w:lang w:val="en-US" w:eastAsia="zh-CN"/>
        </w:rPr>
        <w:t>西藏自治区创建民族团结模范区建设条例</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藏传佛教活佛转世管理办法》等为重点宣传内容</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lang w:val="en-US" w:eastAsia="zh-CN"/>
        </w:rPr>
        <w:t>微信群、微信公众号、同心圆矩阵群等线上方式开展普法宣传工作，并在</w:t>
      </w:r>
      <w:r>
        <w:rPr>
          <w:rFonts w:hint="default" w:ascii="Times New Roman" w:hAnsi="Times New Roman" w:eastAsia="方正仿宋简体" w:cs="Times New Roman"/>
          <w:sz w:val="32"/>
          <w:szCs w:val="32"/>
        </w:rPr>
        <w:t>主要路口悬挂宣传横幅，并制作法律知识宣传版面，</w:t>
      </w:r>
      <w:r>
        <w:rPr>
          <w:rFonts w:hint="default" w:ascii="Times New Roman" w:hAnsi="Times New Roman" w:eastAsia="方正仿宋简体" w:cs="Times New Roman"/>
          <w:sz w:val="32"/>
          <w:szCs w:val="32"/>
          <w:lang w:val="en-US" w:eastAsia="zh-CN"/>
        </w:rPr>
        <w:t>利用搬迁点法制宣传广场</w:t>
      </w:r>
      <w:r>
        <w:rPr>
          <w:rFonts w:hint="default" w:ascii="Times New Roman" w:hAnsi="Times New Roman" w:eastAsia="方正仿宋简体" w:cs="Times New Roman"/>
          <w:sz w:val="32"/>
          <w:szCs w:val="32"/>
        </w:rPr>
        <w:t>形成宣传声势，营造增强宪法观念，维护宪法尊严，构建和谐社会的良好氛围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开展普法宣传共计30余次，惠及3000余人次、发放宣传手册等相关材料2000余份。</w:t>
      </w:r>
    </w:p>
    <w:p w14:paraId="43BEDA6C">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eastAsia="zh-CN"/>
        </w:rPr>
        <w:t>干部队伍素质得到提升</w:t>
      </w:r>
      <w:r>
        <w:rPr>
          <w:rFonts w:hint="eastAsia" w:ascii="Times New Roman" w:hAnsi="Times New Roman" w:eastAsia="方正楷体简体" w:cs="Times New Roman"/>
          <w:sz w:val="32"/>
          <w:szCs w:val="32"/>
          <w:lang w:eastAsia="zh-CN"/>
        </w:rPr>
        <w:t>。</w:t>
      </w:r>
      <w:r>
        <w:rPr>
          <w:rFonts w:hint="default" w:ascii="Times New Roman" w:hAnsi="Times New Roman" w:eastAsia="方正仿宋简体" w:cs="Times New Roman"/>
          <w:sz w:val="32"/>
          <w:szCs w:val="32"/>
          <w:lang w:val="en-US" w:eastAsia="zh-CN"/>
        </w:rPr>
        <w:t>坚持用党的二十大精神和习近平法治思想举旗定向，统引全面依法治乡。</w:t>
      </w:r>
      <w:r>
        <w:rPr>
          <w:rFonts w:hint="default" w:ascii="Times New Roman" w:hAnsi="Times New Roman" w:eastAsia="方正仿宋简体" w:cs="Times New Roman"/>
          <w:sz w:val="32"/>
          <w:szCs w:val="32"/>
        </w:rPr>
        <w:t>紧紧抓住干部的法制教育不放，不断强化干部的法律素质。坚持和完善</w:t>
      </w:r>
      <w:r>
        <w:rPr>
          <w:rFonts w:hint="eastAsia" w:ascii="Times New Roman" w:hAnsi="Times New Roman" w:eastAsia="方正仿宋简体" w:cs="Times New Roman"/>
          <w:sz w:val="32"/>
          <w:szCs w:val="32"/>
          <w:lang w:val="en-US" w:eastAsia="zh-CN"/>
        </w:rPr>
        <w:t>党委理论学习</w:t>
      </w:r>
      <w:r>
        <w:rPr>
          <w:rFonts w:hint="default" w:ascii="Times New Roman" w:hAnsi="Times New Roman" w:eastAsia="方正仿宋简体" w:cs="Times New Roman"/>
          <w:sz w:val="32"/>
          <w:szCs w:val="32"/>
        </w:rPr>
        <w:t>中心组集体学法制度，将干部作为普法重点对象来抓</w:t>
      </w:r>
      <w:r>
        <w:rPr>
          <w:rFonts w:hint="default" w:ascii="Times New Roman" w:hAnsi="Times New Roman" w:eastAsia="方正仿宋简体" w:cs="Times New Roman"/>
          <w:sz w:val="32"/>
          <w:szCs w:val="32"/>
          <w:lang w:val="en-US" w:eastAsia="zh-CN"/>
        </w:rPr>
        <w:t>全年共计</w:t>
      </w:r>
      <w:r>
        <w:rPr>
          <w:rFonts w:hint="eastAsia" w:ascii="Times New Roman" w:hAnsi="Times New Roman" w:eastAsia="方正仿宋简体" w:cs="Times New Roman"/>
          <w:sz w:val="32"/>
          <w:szCs w:val="32"/>
          <w:lang w:val="en-US" w:eastAsia="zh-CN"/>
        </w:rPr>
        <w:t>开展集中</w:t>
      </w:r>
      <w:r>
        <w:rPr>
          <w:rFonts w:hint="default" w:ascii="Times New Roman" w:hAnsi="Times New Roman" w:eastAsia="方正仿宋简体" w:cs="Times New Roman"/>
          <w:sz w:val="32"/>
          <w:szCs w:val="32"/>
          <w:lang w:val="en-US" w:eastAsia="zh-CN"/>
        </w:rPr>
        <w:t>学习18次、参与</w:t>
      </w:r>
      <w:r>
        <w:rPr>
          <w:rFonts w:hint="eastAsia" w:ascii="Times New Roman" w:hAnsi="Times New Roman" w:eastAsia="方正仿宋简体" w:cs="Times New Roman"/>
          <w:sz w:val="32"/>
          <w:szCs w:val="32"/>
          <w:lang w:val="en-US" w:eastAsia="zh-CN"/>
        </w:rPr>
        <w:t>人数达</w:t>
      </w:r>
      <w:r>
        <w:rPr>
          <w:rFonts w:hint="default" w:ascii="Times New Roman" w:hAnsi="Times New Roman" w:eastAsia="方正仿宋简体" w:cs="Times New Roman"/>
          <w:sz w:val="32"/>
          <w:szCs w:val="32"/>
          <w:lang w:val="en-US" w:eastAsia="zh-CN"/>
        </w:rPr>
        <w:t>400余人次；参与各类法治答题活动3次，参与人数90余人次，有效提高了依法行政水平。</w:t>
      </w:r>
    </w:p>
    <w:p w14:paraId="41EA150B">
      <w:pPr>
        <w:pStyle w:val="6"/>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三</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eastAsia="zh-CN"/>
        </w:rPr>
        <w:t>矛盾纠纷化解机制逐步完善</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kern w:val="2"/>
          <w:sz w:val="32"/>
          <w:szCs w:val="32"/>
          <w:lang w:val="en-US" w:eastAsia="zh-CN" w:bidi="ar-SA"/>
        </w:rPr>
        <w:t>荣玛乡始终把平安建设工作作为全年经济发展工作的重要任务，一方面，</w:t>
      </w:r>
      <w:r>
        <w:rPr>
          <w:rFonts w:hint="default" w:ascii="Times New Roman" w:hAnsi="Times New Roman" w:eastAsia="方正仿宋简体" w:cs="Times New Roman"/>
          <w:sz w:val="32"/>
          <w:szCs w:val="32"/>
          <w:lang w:val="en-US" w:eastAsia="zh-CN"/>
        </w:rPr>
        <w:t>建立健全了社会面治安防控机制，加强治安巡逻和治安防范工作。</w:t>
      </w:r>
      <w:r>
        <w:rPr>
          <w:rFonts w:hint="eastAsia" w:ascii="Times New Roman" w:hAnsi="Times New Roman" w:eastAsia="方正仿宋简体" w:cs="Times New Roman"/>
          <w:kern w:val="2"/>
          <w:sz w:val="32"/>
          <w:szCs w:val="32"/>
          <w:lang w:val="en-US" w:eastAsia="zh-CN" w:bidi="ar-SA"/>
        </w:rPr>
        <w:t>另一方面，加强对矛盾纠纷的排查调处，及时发现并化解各类矛盾纠纷，防止矛盾激化升级。同时，加强对社会治安防范设施的建设和完善，提高治安防范水平。2024年累计组织开展矛盾纠纷排查化解工作20余次，</w:t>
      </w:r>
      <w:r>
        <w:rPr>
          <w:rFonts w:hint="default" w:ascii="Times New Roman" w:hAnsi="Times New Roman" w:eastAsia="方正仿宋简体" w:cs="Times New Roman"/>
          <w:sz w:val="32"/>
          <w:szCs w:val="32"/>
          <w:lang w:val="en-US" w:eastAsia="zh-CN"/>
        </w:rPr>
        <w:t>覆盖263户，30家商家</w:t>
      </w:r>
      <w:r>
        <w:rPr>
          <w:rFonts w:hint="eastAsia" w:ascii="Times New Roman" w:hAnsi="Times New Roman" w:eastAsia="方正仿宋简体" w:cs="Times New Roman"/>
          <w:sz w:val="32"/>
          <w:szCs w:val="32"/>
          <w:lang w:val="en-US" w:eastAsia="zh-CN"/>
        </w:rPr>
        <w:t>，发现并调处矛盾纠纷3次；</w:t>
      </w:r>
      <w:r>
        <w:rPr>
          <w:rFonts w:hint="eastAsia" w:ascii="Times New Roman" w:hAnsi="Times New Roman" w:eastAsia="方正仿宋简体" w:cs="Times New Roman"/>
          <w:kern w:val="2"/>
          <w:sz w:val="32"/>
          <w:szCs w:val="32"/>
          <w:lang w:val="en-US" w:eastAsia="zh-CN" w:bidi="ar-SA"/>
        </w:rPr>
        <w:t>组织网格员、双联户长、双共队员开展治安巡逻100余次，出动群防群治力量500余人次。</w:t>
      </w:r>
    </w:p>
    <w:p w14:paraId="3D13D97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val="en-US" w:eastAsia="zh-CN"/>
        </w:rPr>
        <w:t>）完善决策机制。</w:t>
      </w:r>
      <w:r>
        <w:rPr>
          <w:rFonts w:hint="default" w:ascii="Times New Roman" w:hAnsi="Times New Roman" w:eastAsia="方正仿宋简体" w:cs="Times New Roman"/>
          <w:sz w:val="32"/>
          <w:szCs w:val="32"/>
          <w:lang w:val="en-US" w:eastAsia="zh-CN"/>
        </w:rPr>
        <w:t>建立健全重大行政决策公众参与、专家论证、风险评估、合法性审查、集体讨论决定等制度，确保决策科学、民主、合法。</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乡人大、乡纪委监委定期不定期对财务公开、差旅报销、政务公开情况进行监督检查，</w:t>
      </w:r>
      <w:r>
        <w:rPr>
          <w:rFonts w:hint="eastAsia" w:ascii="Times New Roman" w:hAnsi="Times New Roman" w:eastAsia="方正仿宋简体" w:cs="Times New Roman"/>
          <w:sz w:val="32"/>
          <w:szCs w:val="32"/>
          <w:lang w:val="en-US" w:eastAsia="zh-CN"/>
        </w:rPr>
        <w:t>截至</w:t>
      </w:r>
      <w:r>
        <w:rPr>
          <w:rFonts w:hint="default" w:ascii="Times New Roman" w:hAnsi="Times New Roman" w:eastAsia="方正仿宋简体" w:cs="Times New Roman"/>
          <w:sz w:val="32"/>
          <w:szCs w:val="32"/>
          <w:lang w:val="en-US" w:eastAsia="zh-CN"/>
        </w:rPr>
        <w:t>目前我乡惠民资金公开14次，草补资金及草监员补助公开2次，报销每季度公开一次，工资共公开11次；农村低保公开4次，五保户补贴共4次，残疾两项补贴公开1次，孤儿补贴共2次，</w:t>
      </w:r>
      <w:r>
        <w:rPr>
          <w:rFonts w:hint="eastAsia" w:ascii="Times New Roman" w:hAnsi="Times New Roman" w:eastAsia="方正仿宋简体" w:cs="Times New Roman"/>
          <w:sz w:val="32"/>
          <w:szCs w:val="32"/>
          <w:lang w:val="en-US" w:eastAsia="zh-CN"/>
        </w:rPr>
        <w:t>高龄</w:t>
      </w:r>
      <w:r>
        <w:rPr>
          <w:rFonts w:hint="default" w:ascii="Times New Roman" w:hAnsi="Times New Roman" w:eastAsia="方正仿宋简体" w:cs="Times New Roman"/>
          <w:sz w:val="32"/>
          <w:szCs w:val="32"/>
          <w:lang w:val="en-US" w:eastAsia="zh-CN"/>
        </w:rPr>
        <w:t>两项补贴共1次，寿星老人公开1次，60岁以上养老保险公开9次。</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严格落实</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三重一大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工作原则，对涉及</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三重一大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的工作事项提交乡党委班子会议研究并请</w:t>
      </w:r>
      <w:r>
        <w:rPr>
          <w:rFonts w:hint="eastAsia" w:ascii="Times New Roman" w:hAnsi="Times New Roman" w:eastAsia="方正仿宋简体" w:cs="Times New Roman"/>
          <w:sz w:val="32"/>
          <w:szCs w:val="32"/>
          <w:lang w:val="en-US" w:eastAsia="zh-CN"/>
        </w:rPr>
        <w:t>人大</w:t>
      </w:r>
      <w:r>
        <w:rPr>
          <w:rFonts w:hint="default" w:ascii="Times New Roman" w:hAnsi="Times New Roman" w:eastAsia="方正仿宋简体" w:cs="Times New Roman"/>
          <w:sz w:val="32"/>
          <w:szCs w:val="32"/>
          <w:lang w:val="en-US" w:eastAsia="zh-CN"/>
        </w:rPr>
        <w:t>同志列席会议共16次。</w:t>
      </w:r>
    </w:p>
    <w:p w14:paraId="22ACBEB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五</w:t>
      </w:r>
      <w:r>
        <w:rPr>
          <w:rFonts w:hint="default" w:ascii="Times New Roman" w:hAnsi="Times New Roman" w:eastAsia="方正楷体简体" w:cs="Times New Roman"/>
          <w:sz w:val="32"/>
          <w:szCs w:val="32"/>
          <w:lang w:val="en-US" w:eastAsia="zh-CN"/>
        </w:rPr>
        <w:t>）落实行政执法</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三项制度</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i w:val="0"/>
          <w:iCs w:val="0"/>
          <w:caps w:val="0"/>
          <w:color w:val="000000"/>
          <w:spacing w:val="0"/>
          <w:sz w:val="32"/>
          <w:szCs w:val="32"/>
          <w:shd w:val="clear" w:fill="FFFFFF"/>
        </w:rPr>
        <w:t>执法队伍建设情况，成立</w:t>
      </w:r>
      <w:r>
        <w:rPr>
          <w:rFonts w:hint="default" w:ascii="Times New Roman" w:hAnsi="Times New Roman" w:eastAsia="方正仿宋简体" w:cs="Times New Roman"/>
          <w:i w:val="0"/>
          <w:iCs w:val="0"/>
          <w:caps w:val="0"/>
          <w:color w:val="000000"/>
          <w:spacing w:val="0"/>
          <w:sz w:val="32"/>
          <w:szCs w:val="32"/>
          <w:shd w:val="clear" w:fill="FFFFFF"/>
          <w:lang w:val="en-US" w:eastAsia="zh-CN"/>
        </w:rPr>
        <w:t>以</w:t>
      </w:r>
      <w:r>
        <w:rPr>
          <w:rFonts w:hint="default" w:ascii="Times New Roman" w:hAnsi="Times New Roman" w:eastAsia="方正仿宋简体" w:cs="Times New Roman"/>
          <w:i w:val="0"/>
          <w:iCs w:val="0"/>
          <w:caps w:val="0"/>
          <w:color w:val="000000"/>
          <w:spacing w:val="0"/>
          <w:sz w:val="32"/>
          <w:szCs w:val="32"/>
          <w:shd w:val="clear" w:fill="FFFFFF"/>
        </w:rPr>
        <w:t>乡党委书记为组长，政府副乡长为副组长，乡</w:t>
      </w:r>
      <w:r>
        <w:rPr>
          <w:rFonts w:hint="eastAsia" w:ascii="Times New Roman" w:hAnsi="Times New Roman" w:eastAsia="方正仿宋简体" w:cs="Times New Roman"/>
          <w:i w:val="0"/>
          <w:iCs w:val="0"/>
          <w:caps w:val="0"/>
          <w:color w:val="000000"/>
          <w:spacing w:val="0"/>
          <w:sz w:val="32"/>
          <w:szCs w:val="32"/>
          <w:shd w:val="clear" w:fill="FFFFFF"/>
          <w:lang w:val="en-US" w:eastAsia="zh-CN"/>
        </w:rPr>
        <w:t>平安法治办</w:t>
      </w:r>
      <w:r>
        <w:rPr>
          <w:rFonts w:hint="default" w:ascii="Times New Roman" w:hAnsi="Times New Roman" w:eastAsia="方正仿宋简体" w:cs="Times New Roman"/>
          <w:i w:val="0"/>
          <w:iCs w:val="0"/>
          <w:caps w:val="0"/>
          <w:color w:val="000000"/>
          <w:spacing w:val="0"/>
          <w:sz w:val="32"/>
          <w:szCs w:val="32"/>
          <w:shd w:val="clear" w:fill="FFFFFF"/>
        </w:rPr>
        <w:t>工作人员以及各村第一书记为</w:t>
      </w:r>
      <w:r>
        <w:rPr>
          <w:rFonts w:hint="eastAsia" w:ascii="Times New Roman" w:hAnsi="Times New Roman" w:eastAsia="方正仿宋简体" w:cs="Times New Roman"/>
          <w:i w:val="0"/>
          <w:iCs w:val="0"/>
          <w:caps w:val="0"/>
          <w:color w:val="000000"/>
          <w:spacing w:val="0"/>
          <w:sz w:val="32"/>
          <w:szCs w:val="32"/>
          <w:shd w:val="clear" w:fill="FFFFFF"/>
          <w:lang w:eastAsia="zh-CN"/>
        </w:rPr>
        <w:t>成员</w:t>
      </w:r>
      <w:r>
        <w:rPr>
          <w:rFonts w:hint="default" w:ascii="Times New Roman" w:hAnsi="Times New Roman" w:eastAsia="方正仿宋简体" w:cs="Times New Roman"/>
          <w:i w:val="0"/>
          <w:iCs w:val="0"/>
          <w:caps w:val="0"/>
          <w:color w:val="000000"/>
          <w:spacing w:val="0"/>
          <w:sz w:val="32"/>
          <w:szCs w:val="32"/>
          <w:shd w:val="clear" w:fill="FFFFFF"/>
        </w:rPr>
        <w:t>的领导小组。</w:t>
      </w:r>
      <w:r>
        <w:rPr>
          <w:rFonts w:hint="default" w:ascii="Times New Roman" w:hAnsi="Times New Roman" w:eastAsia="方正仿宋简体" w:cs="Times New Roman"/>
          <w:b/>
          <w:bCs/>
          <w:i w:val="0"/>
          <w:iCs w:val="0"/>
          <w:caps w:val="0"/>
          <w:color w:val="000000"/>
          <w:spacing w:val="0"/>
          <w:sz w:val="32"/>
          <w:szCs w:val="32"/>
          <w:shd w:val="clear" w:fill="FFFFFF"/>
          <w:lang w:eastAsia="zh-CN"/>
        </w:rPr>
        <w:t>二是</w:t>
      </w:r>
      <w:r>
        <w:rPr>
          <w:rFonts w:hint="default" w:ascii="Times New Roman" w:hAnsi="Times New Roman" w:eastAsia="方正仿宋简体" w:cs="Times New Roman"/>
          <w:i w:val="0"/>
          <w:iCs w:val="0"/>
          <w:caps w:val="0"/>
          <w:color w:val="000000"/>
          <w:spacing w:val="0"/>
          <w:sz w:val="32"/>
          <w:szCs w:val="32"/>
          <w:shd w:val="clear" w:fill="FFFFFF"/>
        </w:rPr>
        <w:t>主要对各商品房、幼儿园等进行食品药品大检查工作，对发现过期、变质的食物统一</w:t>
      </w:r>
      <w:r>
        <w:rPr>
          <w:rFonts w:hint="default" w:ascii="Times New Roman" w:hAnsi="Times New Roman" w:eastAsia="方正仿宋简体" w:cs="Times New Roman"/>
          <w:i w:val="0"/>
          <w:iCs w:val="0"/>
          <w:caps w:val="0"/>
          <w:color w:val="000000"/>
          <w:spacing w:val="0"/>
          <w:sz w:val="32"/>
          <w:szCs w:val="32"/>
          <w:shd w:val="clear" w:fill="FFFFFF"/>
          <w:lang w:eastAsia="zh-CN"/>
        </w:rPr>
        <w:t>销</w:t>
      </w:r>
      <w:r>
        <w:rPr>
          <w:rFonts w:hint="default" w:ascii="Times New Roman" w:hAnsi="Times New Roman" w:eastAsia="方正仿宋简体" w:cs="Times New Roman"/>
          <w:i w:val="0"/>
          <w:iCs w:val="0"/>
          <w:caps w:val="0"/>
          <w:color w:val="000000"/>
          <w:spacing w:val="0"/>
          <w:sz w:val="32"/>
          <w:szCs w:val="32"/>
          <w:shd w:val="clear" w:fill="FFFFFF"/>
        </w:rPr>
        <w:t>毁，</w:t>
      </w:r>
      <w:r>
        <w:rPr>
          <w:rFonts w:hint="default" w:ascii="Times New Roman" w:hAnsi="Times New Roman" w:eastAsia="方正仿宋简体" w:cs="Times New Roman"/>
          <w:i w:val="0"/>
          <w:iCs w:val="0"/>
          <w:caps w:val="0"/>
          <w:color w:val="000000"/>
          <w:spacing w:val="0"/>
          <w:sz w:val="32"/>
          <w:szCs w:val="32"/>
          <w:shd w:val="clear" w:fill="FFFFFF"/>
          <w:lang w:eastAsia="zh-CN"/>
        </w:rPr>
        <w:t>共检查</w:t>
      </w:r>
      <w:r>
        <w:rPr>
          <w:rFonts w:hint="default" w:ascii="Times New Roman" w:hAnsi="Times New Roman" w:eastAsia="方正仿宋简体" w:cs="Times New Roman"/>
          <w:i w:val="0"/>
          <w:iCs w:val="0"/>
          <w:caps w:val="0"/>
          <w:color w:val="000000"/>
          <w:spacing w:val="0"/>
          <w:sz w:val="32"/>
          <w:szCs w:val="32"/>
          <w:shd w:val="clear" w:fill="FFFFFF"/>
          <w:lang w:val="en-US" w:eastAsia="zh-CN"/>
        </w:rPr>
        <w:t>34次，下达整改单11次</w:t>
      </w:r>
      <w:r>
        <w:rPr>
          <w:rFonts w:hint="eastAsia" w:ascii="Times New Roman" w:hAnsi="Times New Roman" w:eastAsia="方正仿宋简体" w:cs="Times New Roman"/>
          <w:i w:val="0"/>
          <w:iCs w:val="0"/>
          <w:caps w:val="0"/>
          <w:color w:val="000000"/>
          <w:spacing w:val="0"/>
          <w:sz w:val="32"/>
          <w:szCs w:val="32"/>
          <w:shd w:val="clear" w:fill="FFFFFF"/>
          <w:lang w:val="en-US" w:eastAsia="zh-CN"/>
        </w:rPr>
        <w:t>，</w:t>
      </w:r>
      <w:r>
        <w:rPr>
          <w:rFonts w:hint="default" w:ascii="Times New Roman" w:hAnsi="Times New Roman" w:eastAsia="方正仿宋简体" w:cs="Times New Roman"/>
          <w:i w:val="0"/>
          <w:iCs w:val="0"/>
          <w:caps w:val="0"/>
          <w:color w:val="000000"/>
          <w:spacing w:val="0"/>
          <w:sz w:val="32"/>
          <w:szCs w:val="32"/>
          <w:shd w:val="clear" w:fill="FFFFFF"/>
          <w:lang w:val="en-US" w:eastAsia="zh-CN"/>
        </w:rPr>
        <w:t>整改11次。</w:t>
      </w:r>
    </w:p>
    <w:p w14:paraId="153C01D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（六</w:t>
      </w:r>
      <w:r>
        <w:rPr>
          <w:rFonts w:hint="default" w:ascii="Times New Roman" w:hAnsi="Times New Roman" w:eastAsia="方正楷体简体" w:cs="Times New Roman"/>
          <w:sz w:val="32"/>
          <w:szCs w:val="32"/>
          <w:lang w:val="en-US" w:eastAsia="zh-CN"/>
        </w:rPr>
        <w:t>）强化对行政权力的制约和监督，自觉接受监督，强化内部层级监督和专门监督，落实行政问责情况。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每季度</w:t>
      </w:r>
      <w:r>
        <w:rPr>
          <w:rFonts w:hint="default" w:ascii="Times New Roman" w:hAnsi="Times New Roman" w:eastAsia="方正仿宋简体" w:cs="Times New Roman"/>
          <w:b w:val="0"/>
          <w:bCs w:val="0"/>
          <w:sz w:val="32"/>
          <w:szCs w:val="32"/>
          <w:lang w:val="en-US" w:eastAsia="zh-CN"/>
        </w:rPr>
        <w:t>监督检查</w:t>
      </w:r>
      <w:r>
        <w:rPr>
          <w:rFonts w:hint="default" w:ascii="Times New Roman" w:hAnsi="Times New Roman" w:eastAsia="方正仿宋简体" w:cs="Times New Roman"/>
          <w:sz w:val="32"/>
          <w:szCs w:val="32"/>
          <w:lang w:val="en-US" w:eastAsia="zh-CN"/>
        </w:rPr>
        <w:t>财务、政务公开情况</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三重一大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事项由乡纪委监督并记录在案，以便事后查询。</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对违纪违规人员、事项按照程序要求，报乡党委、纪委处理。</w:t>
      </w:r>
      <w:r>
        <w:rPr>
          <w:rFonts w:hint="eastAsia" w:ascii="Times New Roman" w:hAnsi="Times New Roman" w:eastAsia="方正仿宋简体" w:cs="Times New Roman"/>
          <w:sz w:val="32"/>
          <w:szCs w:val="32"/>
          <w:lang w:val="en-US" w:eastAsia="zh-CN"/>
        </w:rPr>
        <w:t>截至</w:t>
      </w:r>
      <w:r>
        <w:rPr>
          <w:rFonts w:hint="default" w:ascii="Times New Roman" w:hAnsi="Times New Roman" w:eastAsia="方正仿宋简体" w:cs="Times New Roman"/>
          <w:sz w:val="32"/>
          <w:szCs w:val="32"/>
          <w:lang w:val="en-US" w:eastAsia="zh-CN"/>
        </w:rPr>
        <w:t>目前针对政府职能部门，共开展监督检查6次，立行立改2条</w:t>
      </w:r>
      <w:r>
        <w:rPr>
          <w:rFonts w:hint="eastAsia" w:ascii="Times New Roman" w:hAnsi="Times New Roman" w:eastAsia="方正仿宋简体" w:cs="Times New Roman"/>
          <w:sz w:val="32"/>
          <w:szCs w:val="32"/>
          <w:lang w:val="en-US" w:eastAsia="zh-CN"/>
        </w:rPr>
        <w:t>建议。</w:t>
      </w:r>
    </w:p>
    <w:p w14:paraId="09619E1E">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二、2024年法治政府建设存在问题与不足</w:t>
      </w:r>
    </w:p>
    <w:p w14:paraId="1069FE76">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Times New Roman" w:hAnsi="Times New Roman" w:eastAsia="方正楷体简体" w:cs="Times New Roman"/>
          <w:sz w:val="32"/>
          <w:szCs w:val="32"/>
          <w:lang w:val="en-US" w:eastAsia="zh-CN"/>
        </w:rPr>
        <w:t>（一）</w:t>
      </w:r>
      <w:r>
        <w:rPr>
          <w:rFonts w:hint="eastAsia" w:ascii="Times New Roman" w:hAnsi="Times New Roman" w:eastAsia="方正楷体简体" w:cs="Times New Roman"/>
          <w:sz w:val="32"/>
          <w:szCs w:val="32"/>
          <w:lang w:eastAsia="zh-CN"/>
        </w:rPr>
        <w:t>法治宣传</w:t>
      </w:r>
      <w:r>
        <w:rPr>
          <w:rFonts w:hint="eastAsia" w:ascii="Times New Roman" w:hAnsi="Times New Roman" w:eastAsia="方正楷体简体" w:cs="Times New Roman"/>
          <w:sz w:val="32"/>
          <w:szCs w:val="32"/>
          <w:lang w:val="en-US" w:eastAsia="zh-CN"/>
        </w:rPr>
        <w:t>方式仍需创新</w:t>
      </w:r>
      <w:r>
        <w:rPr>
          <w:rFonts w:hint="eastAsia" w:ascii="Times New Roman" w:hAnsi="Times New Roman" w:eastAsia="方正楷体简体" w:cs="Times New Roman"/>
          <w:sz w:val="32"/>
          <w:szCs w:val="32"/>
          <w:lang w:eastAsia="zh-CN"/>
        </w:rPr>
        <w:t>。</w:t>
      </w:r>
      <w:r>
        <w:rPr>
          <w:rFonts w:hint="eastAsia" w:ascii="方正仿宋简体" w:hAnsi="方正仿宋简体" w:eastAsia="方正仿宋简体" w:cs="方正仿宋简体"/>
          <w:sz w:val="32"/>
          <w:szCs w:val="32"/>
          <w:lang w:val="en-US" w:eastAsia="zh-CN"/>
        </w:rPr>
        <w:t>当前，我们的教育宣传手段显得较为单一，主要依赖于传统的宣传方式，如发放宣传册、悬挂横幅等，缺乏创新和多样性，难以吸引群众的注意力。由于宣传形式的单调乏味，广大群众对普法活动的兴趣不高，</w:t>
      </w:r>
      <w:r>
        <w:rPr>
          <w:rFonts w:hint="eastAsia" w:ascii="方正仿宋简体" w:hAnsi="方正仿宋简体" w:eastAsia="方正仿宋简体" w:cs="方正仿宋简体"/>
          <w:sz w:val="32"/>
          <w:szCs w:val="32"/>
          <w:lang w:eastAsia="zh-CN"/>
        </w:rPr>
        <w:t>参与度普遍偏低，很多人对法律知识的了解仍然停留在表面，未能深入理解和掌握。因此，普法工作的实际效果并不理想，距离预期的目标还有较大差距，亟须采取有效措施加以改进和提升</w:t>
      </w:r>
      <w:r>
        <w:rPr>
          <w:rFonts w:hint="eastAsia" w:ascii="方正仿宋简体" w:hAnsi="方正仿宋简体" w:eastAsia="方正仿宋简体" w:cs="方正仿宋简体"/>
          <w:kern w:val="2"/>
          <w:sz w:val="32"/>
          <w:szCs w:val="32"/>
          <w:lang w:val="en-US" w:eastAsia="zh-CN" w:bidi="ar-SA"/>
        </w:rPr>
        <w:t>，以增强普法宣传的吸引力和实效性，提高群众的法律意识和素养</w:t>
      </w:r>
      <w:r>
        <w:rPr>
          <w:rFonts w:hint="eastAsia" w:ascii="方正仿宋简体" w:hAnsi="方正仿宋简体" w:eastAsia="方正仿宋简体" w:cs="方正仿宋简体"/>
          <w:sz w:val="32"/>
          <w:szCs w:val="32"/>
          <w:lang w:eastAsia="zh-CN"/>
        </w:rPr>
        <w:t>。</w:t>
      </w:r>
    </w:p>
    <w:p w14:paraId="0486CFB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Times New Roman" w:hAnsi="Times New Roman" w:eastAsia="方正楷体简体" w:cs="Times New Roman"/>
          <w:sz w:val="32"/>
          <w:szCs w:val="32"/>
          <w:lang w:val="en-US" w:eastAsia="zh-CN"/>
        </w:rPr>
        <w:t>（二）政务公开内容需细化</w:t>
      </w:r>
      <w:r>
        <w:rPr>
          <w:rFonts w:hint="eastAsia" w:ascii="方正仿宋简体" w:hAnsi="方正仿宋简体" w:eastAsia="方正仿宋简体" w:cs="方正仿宋简体"/>
          <w:sz w:val="32"/>
          <w:szCs w:val="32"/>
          <w:lang w:eastAsia="zh-CN"/>
        </w:rPr>
        <w:t>。部分政务信息公开在时效性和详尽性方面存在不足之处，具体表现为信息更新不及时、内容不够详尽，导致广大群众在获取相关政务信息时面临诸多困难和障碍。信息渠道的不够畅通，使得公众难以通过便捷的方式获取所需信息，这种情况严重影响了政务信息的传播效率。此外，这种信息公开的不足也难以满足公众对政务透明度和知情权的合理期待，进一步削弱了政府与民众之间的信任关系，不利于构建和谐的社会环境。因此，提升政务信息公开的时效性和详尽性，畅通信息渠道，已成为当前亟待解决的重要问题。</w:t>
      </w:r>
    </w:p>
    <w:p w14:paraId="1AF60D9A">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楷体简体" w:cs="Times New Roman"/>
          <w:sz w:val="32"/>
          <w:szCs w:val="32"/>
          <w:lang w:val="en-US" w:eastAsia="zh-CN"/>
        </w:rPr>
        <w:t>（三）加强干部法治素养。</w:t>
      </w:r>
      <w:r>
        <w:rPr>
          <w:rFonts w:hint="eastAsia" w:ascii="方正仿宋简体" w:hAnsi="方正仿宋简体" w:eastAsia="方正仿宋简体" w:cs="方正仿宋简体"/>
          <w:sz w:val="32"/>
          <w:szCs w:val="32"/>
          <w:lang w:val="en-US" w:eastAsia="zh-CN"/>
        </w:rPr>
        <w:t>尽管我们在提升干部法治素养方面已经取得了一定的进展和成效，但客观来看，这一领域的努力仍然远远不够，亟须进一步加强和深化。具体而言，部分干部的法律意识以及法律素养水平仍然处于较为初级的阶段，亟须通过系统的培训和实践活动来加以提升。同时，这些干部对于法治政府建设的核心要义、深远意义以及具体实践路径的认识和理解还显得较为肤浅和片面，亟须通过深入的理论学习和实践锻炼来不断深化和完善。此外，在日常的工作实践中，一些干部仍然暴露出依法行政意识不够强烈、在处理复杂问题时运用法治思维和法治方式的能力明显不足等突出问题，这些问题若不加以有效解决，将严重制约法治政府建设的进程和效果。因此，我们必须高度重视，采取切实有效的措施，全面提升干部的法治素养，为法治政府建设奠定坚实的基础。</w:t>
      </w:r>
    </w:p>
    <w:p w14:paraId="43204D52">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三、2024年主要负责同志履行推进法治政府建设第一责任人职责情况</w:t>
      </w:r>
    </w:p>
    <w:p w14:paraId="6E284867">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kern w:val="2"/>
          <w:sz w:val="32"/>
          <w:szCs w:val="32"/>
          <w:lang w:val="en-US" w:eastAsia="zh-CN" w:bidi="ar-SA"/>
        </w:rPr>
        <w:t>（一）</w:t>
      </w:r>
      <w:r>
        <w:rPr>
          <w:rFonts w:hint="eastAsia" w:ascii="方正楷体简体" w:hAnsi="方正楷体简体" w:eastAsia="方正楷体简体" w:cs="方正楷体简体"/>
          <w:sz w:val="32"/>
          <w:szCs w:val="32"/>
          <w:lang w:val="en-US" w:eastAsia="zh-CN"/>
        </w:rPr>
        <w:t>高度重视，亲自部署</w:t>
      </w:r>
      <w:r>
        <w:rPr>
          <w:rFonts w:hint="eastAsia" w:ascii="方正楷体简体" w:hAnsi="方正楷体简体" w:eastAsia="方正楷体简体" w:cs="方正楷体简体"/>
          <w:sz w:val="32"/>
          <w:szCs w:val="32"/>
          <w:lang w:eastAsia="zh-CN"/>
        </w:rPr>
        <w:t>。</w:t>
      </w:r>
      <w:r>
        <w:rPr>
          <w:rFonts w:hint="eastAsia" w:ascii="Times New Roman" w:hAnsi="Times New Roman" w:eastAsia="方正仿宋简体" w:cs="Times New Roman"/>
          <w:sz w:val="32"/>
          <w:szCs w:val="40"/>
          <w:lang w:val="en-US" w:eastAsia="zh-CN"/>
        </w:rPr>
        <w:t>成立以乡党委书记及乡长双组长的法治政府建设工作领导小组，定期召开会议，研究部署法治建设工作，2024年共计召开法治政府建设专题会议2次，制定年度法治建设工作要点和责任清单3份，并将法治建设纳入党委年度工作计划和绩效考核体系，确保法治建设工作有序推进。</w:t>
      </w:r>
    </w:p>
    <w:p w14:paraId="239E16E8">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Times New Roman"/>
          <w:kern w:val="2"/>
          <w:sz w:val="32"/>
          <w:szCs w:val="40"/>
          <w:lang w:val="en-US" w:eastAsia="zh-CN" w:bidi="ar-SA"/>
        </w:rPr>
      </w:pPr>
      <w:r>
        <w:rPr>
          <w:rFonts w:hint="eastAsia" w:ascii="方正楷体简体" w:hAnsi="方正楷体简体" w:eastAsia="方正楷体简体" w:cs="方正楷体简体"/>
          <w:kern w:val="2"/>
          <w:sz w:val="32"/>
          <w:szCs w:val="32"/>
          <w:lang w:val="en-US" w:eastAsia="zh-CN" w:bidi="ar-SA"/>
        </w:rPr>
        <w:t>（二）注重法治文化建设，营造法治氛围。</w:t>
      </w:r>
      <w:r>
        <w:rPr>
          <w:rFonts w:hint="eastAsia" w:ascii="Times New Roman" w:hAnsi="Times New Roman" w:eastAsia="方正仿宋简体" w:cs="Times New Roman"/>
          <w:b/>
          <w:bCs/>
          <w:sz w:val="32"/>
          <w:szCs w:val="40"/>
          <w:lang w:val="en-US" w:eastAsia="zh-CN"/>
        </w:rPr>
        <w:t>一是</w:t>
      </w:r>
      <w:r>
        <w:rPr>
          <w:rFonts w:hint="eastAsia" w:ascii="Times New Roman" w:hAnsi="Times New Roman" w:eastAsia="方正仿宋简体" w:cs="Times New Roman"/>
          <w:sz w:val="32"/>
          <w:szCs w:val="40"/>
          <w:lang w:val="en-US" w:eastAsia="zh-CN"/>
        </w:rPr>
        <w:t>在干部思想教育工作中，我们高度重视系统性与实效性。过去一年，组织了4场习近平法治思想专题培训，参与的干部职工达到80余人次。通过深入学习，帮助干部职工深刻理解马克思列宁主义、社会主义和共产主义的真谛；</w:t>
      </w:r>
      <w:r>
        <w:rPr>
          <w:rFonts w:hint="eastAsia" w:ascii="Times New Roman" w:hAnsi="Times New Roman" w:eastAsia="方正仿宋简体" w:cs="Times New Roman"/>
          <w:b/>
          <w:bCs/>
          <w:kern w:val="2"/>
          <w:sz w:val="32"/>
          <w:szCs w:val="40"/>
          <w:lang w:val="en-US" w:eastAsia="zh-CN" w:bidi="ar-SA"/>
        </w:rPr>
        <w:t>二是</w:t>
      </w:r>
      <w:r>
        <w:rPr>
          <w:rFonts w:hint="eastAsia" w:ascii="Times New Roman" w:hAnsi="Times New Roman" w:eastAsia="方正仿宋简体" w:cs="Times New Roman"/>
          <w:kern w:val="2"/>
          <w:sz w:val="32"/>
          <w:szCs w:val="40"/>
          <w:lang w:val="en-US" w:eastAsia="zh-CN" w:bidi="ar-SA"/>
        </w:rPr>
        <w:t>积极开展“法治文化进万家”活动，通过举办法律知识竞赛、法治文艺演出等形式，将法治文化融入群众生活，引导群众树立法治观念，增强法治意识，过去一年共计开展2次法律知识竞赛，2次法治文艺演出活动。此外，还利用村广播、宣传栏等媒介，广泛宣传法律知识，让法治观念深入人心，营造浓厚的法治氛围。</w:t>
      </w:r>
    </w:p>
    <w:p w14:paraId="41B689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（三）加强督查考核。</w:t>
      </w:r>
      <w:r>
        <w:rPr>
          <w:rFonts w:hint="eastAsia" w:ascii="Times New Roman" w:hAnsi="Times New Roman" w:eastAsia="方正仿宋简体" w:cs="Times New Roman"/>
          <w:sz w:val="32"/>
          <w:szCs w:val="40"/>
          <w:lang w:val="en-US" w:eastAsia="zh-CN"/>
        </w:rPr>
        <w:t>为确保法治政府建设各项措施得到有效落实，荣玛乡构建了全方位的督查考核体系。依据明确的考核标准和规范流程，对各部门、各村居的法治政府建设工作进行了四轮督查。对于工作推进成效不显著的部门及村居，采取了有力的督促措施，确保了各项工作按照既定计划有序进行。</w:t>
      </w:r>
    </w:p>
    <w:p w14:paraId="54A8046D">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四</w:t>
      </w:r>
      <w:r>
        <w:rPr>
          <w:rFonts w:hint="eastAsia" w:ascii="方正黑体简体" w:hAnsi="方正黑体简体" w:eastAsia="方正黑体简体" w:cs="方正黑体简体"/>
          <w:sz w:val="32"/>
          <w:szCs w:val="32"/>
        </w:rPr>
        <w:t>、2025年法治政府建设工作计划</w:t>
      </w:r>
    </w:p>
    <w:p w14:paraId="3D11D74F">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（一）</w:t>
      </w:r>
      <w:r>
        <w:rPr>
          <w:rFonts w:hint="eastAsia" w:ascii="方正楷体简体" w:hAnsi="方正楷体简体" w:eastAsia="方正楷体简体" w:cs="方正楷体简体"/>
          <w:sz w:val="32"/>
          <w:szCs w:val="32"/>
          <w:lang w:val="en-US" w:eastAsia="zh-CN"/>
        </w:rPr>
        <w:t>持续强化学习，增强法治观念。</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eastAsia="zh-CN"/>
        </w:rPr>
        <w:t>抓住“领导干部”“关键少数”，大力推进领导干部法治素养提能行动，发挥领导干部学法用法示范引领作用，带头尊法学法守法用法，从而带动全社会形成办事依法、遇事找法、解决问题用法、化解矛盾靠法的法治环境。</w:t>
      </w:r>
    </w:p>
    <w:p w14:paraId="62C142FB">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（二）</w:t>
      </w:r>
      <w:r>
        <w:rPr>
          <w:rFonts w:hint="eastAsia" w:ascii="方正楷体简体" w:hAnsi="方正楷体简体" w:eastAsia="方正楷体简体" w:cs="方正楷体简体"/>
          <w:sz w:val="32"/>
          <w:szCs w:val="32"/>
          <w:lang w:val="en-US" w:eastAsia="zh-CN"/>
        </w:rPr>
        <w:t>深化宣传教育，树牢法治意识。</w:t>
      </w:r>
      <w:r>
        <w:rPr>
          <w:rFonts w:hint="eastAsia" w:ascii="方正仿宋简体" w:hAnsi="方正仿宋简体" w:eastAsia="方正仿宋简体" w:cs="方正仿宋简体"/>
          <w:sz w:val="32"/>
          <w:szCs w:val="32"/>
          <w:lang w:eastAsia="zh-CN"/>
        </w:rPr>
        <w:t>结合全民国家安全日、宪法日、宪法宣传周等特殊节点，探索从“枯燥说教”到“生动演绎”的普法形式转变，采用群众喜闻乐见的方式，让群众在轻松愉悦的氛围中掌握法律知识。</w:t>
      </w:r>
    </w:p>
    <w:p w14:paraId="64837BF4">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bidi="ar-SA"/>
        </w:rPr>
        <w:t>（三）</w:t>
      </w:r>
      <w:r>
        <w:rPr>
          <w:rFonts w:hint="eastAsia" w:ascii="方正楷体简体" w:hAnsi="方正楷体简体" w:eastAsia="方正楷体简体" w:cs="方正楷体简体"/>
          <w:sz w:val="32"/>
          <w:szCs w:val="32"/>
          <w:lang w:val="en-US" w:eastAsia="zh-CN"/>
        </w:rPr>
        <w:t>维护社会稳定，营造良好法治环境。</w:t>
      </w:r>
      <w:r>
        <w:rPr>
          <w:rFonts w:hint="eastAsia" w:ascii="方正仿宋简体" w:hAnsi="方正仿宋简体" w:eastAsia="方正仿宋简体" w:cs="方正仿宋简体"/>
          <w:sz w:val="32"/>
          <w:szCs w:val="32"/>
          <w:lang w:eastAsia="zh-CN"/>
        </w:rPr>
        <w:t>进一步加强矛盾纠纷的排查化解工作，努力把各村的不稳定因素解决在萌芽状态，同时做好防火、道路安全及信访维稳值班工作，为全乡经济社会高质量发展营造安定稳定的社会环境。</w:t>
      </w:r>
    </w:p>
    <w:p w14:paraId="3A51D968">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p>
    <w:p w14:paraId="10C0AF00">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p>
    <w:p w14:paraId="546449B3">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p>
    <w:p w14:paraId="4981818D">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D44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565F">
                          <w:pPr>
                            <w:pStyle w:val="4"/>
                          </w:pPr>
                          <w:r>
                            <w:rPr>
                              <w:sz w:val="24"/>
                              <w:szCs w:val="40"/>
                            </w:rPr>
                            <w:t xml:space="preserve">— </w:t>
                          </w:r>
                          <w:r>
                            <w:rPr>
                              <w:rFonts w:hint="eastAsia" w:ascii="方正仿宋简体" w:hAnsi="方正仿宋简体" w:eastAsia="方正仿宋简体" w:cs="方正仿宋简体"/>
                              <w:sz w:val="24"/>
                              <w:szCs w:val="40"/>
                            </w:rPr>
                            <w:fldChar w:fldCharType="begin"/>
                          </w:r>
                          <w:r>
                            <w:rPr>
                              <w:rFonts w:hint="eastAsia" w:ascii="方正仿宋简体" w:hAnsi="方正仿宋简体" w:eastAsia="方正仿宋简体" w:cs="方正仿宋简体"/>
                              <w:sz w:val="24"/>
                              <w:szCs w:val="40"/>
                            </w:rPr>
                            <w:instrText xml:space="preserve"> PAGE  \* MERGEFORMAT </w:instrText>
                          </w:r>
                          <w:r>
                            <w:rPr>
                              <w:rFonts w:hint="eastAsia" w:ascii="方正仿宋简体" w:hAnsi="方正仿宋简体" w:eastAsia="方正仿宋简体" w:cs="方正仿宋简体"/>
                              <w:sz w:val="24"/>
                              <w:szCs w:val="40"/>
                            </w:rPr>
                            <w:fldChar w:fldCharType="separate"/>
                          </w:r>
                          <w:r>
                            <w:rPr>
                              <w:rFonts w:hint="eastAsia" w:ascii="方正仿宋简体" w:hAnsi="方正仿宋简体" w:eastAsia="方正仿宋简体" w:cs="方正仿宋简体"/>
                              <w:sz w:val="24"/>
                              <w:szCs w:val="40"/>
                            </w:rPr>
                            <w:t>1</w:t>
                          </w:r>
                          <w:r>
                            <w:rPr>
                              <w:rFonts w:hint="eastAsia" w:ascii="方正仿宋简体" w:hAnsi="方正仿宋简体" w:eastAsia="方正仿宋简体" w:cs="方正仿宋简体"/>
                              <w:sz w:val="24"/>
                              <w:szCs w:val="40"/>
                            </w:rPr>
                            <w:fldChar w:fldCharType="end"/>
                          </w:r>
                          <w:r>
                            <w:rPr>
                              <w:rFonts w:hint="eastAsia" w:ascii="方正仿宋简体" w:hAnsi="方正仿宋简体" w:eastAsia="方正仿宋简体" w:cs="方正仿宋简体"/>
                              <w:sz w:val="24"/>
                              <w:szCs w:val="40"/>
                            </w:rPr>
                            <w:t xml:space="preserve"> </w:t>
                          </w:r>
                          <w:r>
                            <w:rPr>
                              <w:sz w:val="24"/>
                              <w:szCs w:val="4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89565F">
                    <w:pPr>
                      <w:pStyle w:val="4"/>
                    </w:pPr>
                    <w:r>
                      <w:rPr>
                        <w:sz w:val="24"/>
                        <w:szCs w:val="40"/>
                      </w:rPr>
                      <w:t xml:space="preserve">— </w:t>
                    </w:r>
                    <w:r>
                      <w:rPr>
                        <w:rFonts w:hint="eastAsia" w:ascii="方正仿宋简体" w:hAnsi="方正仿宋简体" w:eastAsia="方正仿宋简体" w:cs="方正仿宋简体"/>
                        <w:sz w:val="24"/>
                        <w:szCs w:val="40"/>
                      </w:rPr>
                      <w:fldChar w:fldCharType="begin"/>
                    </w:r>
                    <w:r>
                      <w:rPr>
                        <w:rFonts w:hint="eastAsia" w:ascii="方正仿宋简体" w:hAnsi="方正仿宋简体" w:eastAsia="方正仿宋简体" w:cs="方正仿宋简体"/>
                        <w:sz w:val="24"/>
                        <w:szCs w:val="40"/>
                      </w:rPr>
                      <w:instrText xml:space="preserve"> PAGE  \* MERGEFORMAT </w:instrText>
                    </w:r>
                    <w:r>
                      <w:rPr>
                        <w:rFonts w:hint="eastAsia" w:ascii="方正仿宋简体" w:hAnsi="方正仿宋简体" w:eastAsia="方正仿宋简体" w:cs="方正仿宋简体"/>
                        <w:sz w:val="24"/>
                        <w:szCs w:val="40"/>
                      </w:rPr>
                      <w:fldChar w:fldCharType="separate"/>
                    </w:r>
                    <w:r>
                      <w:rPr>
                        <w:rFonts w:hint="eastAsia" w:ascii="方正仿宋简体" w:hAnsi="方正仿宋简体" w:eastAsia="方正仿宋简体" w:cs="方正仿宋简体"/>
                        <w:sz w:val="24"/>
                        <w:szCs w:val="40"/>
                      </w:rPr>
                      <w:t>1</w:t>
                    </w:r>
                    <w:r>
                      <w:rPr>
                        <w:rFonts w:hint="eastAsia" w:ascii="方正仿宋简体" w:hAnsi="方正仿宋简体" w:eastAsia="方正仿宋简体" w:cs="方正仿宋简体"/>
                        <w:sz w:val="24"/>
                        <w:szCs w:val="40"/>
                      </w:rPr>
                      <w:fldChar w:fldCharType="end"/>
                    </w:r>
                    <w:r>
                      <w:rPr>
                        <w:rFonts w:hint="eastAsia" w:ascii="方正仿宋简体" w:hAnsi="方正仿宋简体" w:eastAsia="方正仿宋简体" w:cs="方正仿宋简体"/>
                        <w:sz w:val="24"/>
                        <w:szCs w:val="40"/>
                      </w:rPr>
                      <w:t xml:space="preserve"> </w:t>
                    </w:r>
                    <w:r>
                      <w:rPr>
                        <w:sz w:val="24"/>
                        <w:szCs w:val="4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97F99"/>
    <w:rsid w:val="04297F99"/>
    <w:rsid w:val="19242381"/>
    <w:rsid w:val="1A885BA3"/>
    <w:rsid w:val="1D6E4449"/>
    <w:rsid w:val="326F1DF0"/>
    <w:rsid w:val="34357F34"/>
    <w:rsid w:val="49395C41"/>
    <w:rsid w:val="5379038C"/>
    <w:rsid w:val="5A297D6F"/>
    <w:rsid w:val="60887398"/>
    <w:rsid w:val="69FC5FED"/>
    <w:rsid w:val="7508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next w:val="3"/>
    <w:qFormat/>
    <w:uiPriority w:val="0"/>
    <w:pPr>
      <w:ind w:firstLine="420" w:firstLineChars="200"/>
    </w:pPr>
  </w:style>
  <w:style w:type="character" w:styleId="9">
    <w:name w:val="Strong"/>
    <w:basedOn w:val="8"/>
    <w:qFormat/>
    <w:uiPriority w:val="0"/>
    <w:rPr>
      <w:b/>
    </w:rPr>
  </w:style>
  <w:style w:type="paragraph" w:customStyle="1" w:styleId="10">
    <w:name w:val="Body Text First Indent 21"/>
    <w:basedOn w:val="11"/>
    <w:next w:val="3"/>
    <w:qFormat/>
    <w:uiPriority w:val="0"/>
    <w:pPr>
      <w:widowControl/>
      <w:spacing w:after="0" w:afterLines="0"/>
      <w:ind w:firstLine="420" w:firstLineChars="200"/>
      <w:jc w:val="left"/>
    </w:pPr>
    <w:rPr>
      <w:szCs w:val="24"/>
    </w:rPr>
  </w:style>
  <w:style w:type="paragraph" w:customStyle="1" w:styleId="11">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3098</Words>
  <Characters>3162</Characters>
  <Lines>0</Lines>
  <Paragraphs>0</Paragraphs>
  <TotalTime>2</TotalTime>
  <ScaleCrop>false</ScaleCrop>
  <LinksUpToDate>false</LinksUpToDate>
  <CharactersWithSpaces>3162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2025-05-20T02:48:00Z</dcterms:created>
  <dc:creator>拉巴扎西</dc:creator>
  <cp:lastModifiedBy>☁️☁️</cp:lastModifiedBy>
  <cp:lastPrinted>2025-05-22T03:28:00Z</cp:lastPrinted>
  <dcterms:modified xsi:type="dcterms:W3CDTF">2025-05-26T01:57:15Z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C5EB62F2E9F6464FBF0E3F50A5BFCE04_13</vt:lpwstr>
  </property>
  <property fmtid="{D5CDD505-2E9C-101B-9397-08002B2CF9AE}" pid="4" name="KSOTemplateDocerSaveRecord">
    <vt:lpwstr>eyJoZGlkIjoiMjI1NTFkMDRjN2YyZDQxZWU3ZTlmM2MyODMyYzNlYjMiLCJ1c2VySWQiOiI3MzcyNTk2NjUifQ==</vt:lpwstr>
  </property>
</Properties>
</file>